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ind w:left="-316" w:leftChars="-100" w:right="-316" w:rightChars="-100"/>
        <w:jc w:val="center"/>
        <w:rPr>
          <w:rFonts w:ascii="黑体" w:hAnsi="黑体" w:eastAsia="黑体"/>
          <w:sz w:val="48"/>
          <w:szCs w:val="48"/>
          <w:lang w:val="zh-CN"/>
        </w:rPr>
      </w:pPr>
      <w:r>
        <w:rPr>
          <w:rFonts w:hint="eastAsia" w:ascii="黑体" w:hAnsi="黑体" w:eastAsia="黑体"/>
          <w:sz w:val="48"/>
          <w:szCs w:val="48"/>
          <w:lang w:val="zh-CN"/>
        </w:rPr>
        <w:t>建始县人民法院</w:t>
      </w:r>
    </w:p>
    <w:p>
      <w:pPr>
        <w:autoSpaceDE w:val="0"/>
        <w:autoSpaceDN w:val="0"/>
        <w:adjustRightInd w:val="0"/>
        <w:spacing w:line="600" w:lineRule="exact"/>
        <w:ind w:left="-316" w:leftChars="-100" w:right="-316" w:rightChars="-100"/>
        <w:jc w:val="center"/>
        <w:rPr>
          <w:rFonts w:ascii="黑体" w:hAnsi="黑体" w:eastAsia="黑体"/>
          <w:sz w:val="48"/>
          <w:szCs w:val="48"/>
          <w:lang w:val="zh-CN"/>
        </w:rPr>
      </w:pPr>
      <w:r>
        <w:rPr>
          <w:rFonts w:hint="eastAsia" w:ascii="黑体" w:hAnsi="黑体" w:eastAsia="黑体"/>
          <w:sz w:val="48"/>
          <w:szCs w:val="48"/>
          <w:lang w:val="zh-CN"/>
        </w:rPr>
        <w:t>2021年度部门决算公开的说明</w:t>
      </w:r>
    </w:p>
    <w:p>
      <w:pPr>
        <w:autoSpaceDE w:val="0"/>
        <w:autoSpaceDN w:val="0"/>
        <w:adjustRightInd w:val="0"/>
        <w:spacing w:line="600" w:lineRule="exact"/>
        <w:ind w:left="-316" w:leftChars="-100" w:right="-316" w:rightChars="-100"/>
        <w:jc w:val="center"/>
        <w:rPr>
          <w:rFonts w:ascii="仿宋" w:hAnsi="仿宋"/>
          <w:szCs w:val="32"/>
          <w:lang w:val="zh-CN"/>
        </w:rPr>
      </w:pPr>
    </w:p>
    <w:p>
      <w:pPr>
        <w:autoSpaceDE w:val="0"/>
        <w:autoSpaceDN w:val="0"/>
        <w:adjustRightInd w:val="0"/>
        <w:spacing w:line="600" w:lineRule="exact"/>
        <w:ind w:left="-316" w:leftChars="-100" w:right="-316" w:rightChars="-100"/>
        <w:jc w:val="center"/>
        <w:rPr>
          <w:rFonts w:ascii="黑体" w:hAnsi="黑体" w:eastAsia="黑体"/>
          <w:szCs w:val="32"/>
          <w:lang w:val="zh-CN"/>
        </w:rPr>
      </w:pPr>
      <w:r>
        <w:rPr>
          <w:rFonts w:hint="eastAsia" w:ascii="黑体" w:hAnsi="黑体" w:eastAsia="黑体"/>
          <w:szCs w:val="32"/>
          <w:lang w:val="zh-CN"/>
        </w:rPr>
        <w:t>目  录</w:t>
      </w:r>
    </w:p>
    <w:p>
      <w:pPr>
        <w:spacing w:line="600" w:lineRule="exact"/>
        <w:ind w:left="-316" w:leftChars="-100" w:right="-316" w:rightChars="-100" w:firstLine="632" w:firstLineChars="200"/>
        <w:rPr>
          <w:rFonts w:ascii="黑体" w:hAnsi="黑体" w:eastAsia="黑体"/>
          <w:szCs w:val="32"/>
          <w:lang w:val="zh-CN"/>
        </w:rPr>
      </w:pPr>
    </w:p>
    <w:p>
      <w:pPr>
        <w:spacing w:line="600" w:lineRule="exact"/>
        <w:ind w:left="-316" w:leftChars="-100" w:right="-316" w:rightChars="-100" w:firstLine="632" w:firstLineChars="200"/>
        <w:rPr>
          <w:rFonts w:ascii="仿宋" w:hAnsi="仿宋"/>
          <w:szCs w:val="32"/>
        </w:rPr>
      </w:pPr>
      <w:r>
        <w:rPr>
          <w:rFonts w:hint="eastAsia" w:ascii="仿宋" w:hAnsi="仿宋"/>
          <w:szCs w:val="32"/>
          <w:lang w:val="zh-CN"/>
        </w:rPr>
        <w:t>一、2021年度部门决算单位</w:t>
      </w:r>
    </w:p>
    <w:p>
      <w:pPr>
        <w:autoSpaceDE w:val="0"/>
        <w:autoSpaceDN w:val="0"/>
        <w:adjustRightInd w:val="0"/>
        <w:spacing w:line="600" w:lineRule="exact"/>
        <w:ind w:left="-316" w:leftChars="-100" w:right="-316" w:rightChars="-100" w:firstLine="620" w:firstLineChars="196"/>
        <w:rPr>
          <w:rFonts w:ascii="仿宋" w:hAnsi="仿宋"/>
          <w:szCs w:val="32"/>
          <w:lang w:val="zh-CN"/>
        </w:rPr>
      </w:pPr>
      <w:r>
        <w:rPr>
          <w:rFonts w:hint="eastAsia" w:ascii="仿宋" w:hAnsi="仿宋"/>
          <w:szCs w:val="32"/>
          <w:lang w:val="zh-CN"/>
        </w:rPr>
        <w:t>二、主要职责和机构设置</w:t>
      </w:r>
    </w:p>
    <w:p>
      <w:pPr>
        <w:autoSpaceDE w:val="0"/>
        <w:autoSpaceDN w:val="0"/>
        <w:adjustRightInd w:val="0"/>
        <w:spacing w:line="600" w:lineRule="exact"/>
        <w:ind w:left="-316" w:leftChars="-100" w:right="-316" w:rightChars="-100" w:firstLine="620" w:firstLineChars="196"/>
        <w:rPr>
          <w:rFonts w:ascii="仿宋" w:hAnsi="仿宋"/>
          <w:szCs w:val="32"/>
          <w:lang w:val="zh-CN"/>
        </w:rPr>
      </w:pPr>
      <w:r>
        <w:rPr>
          <w:rFonts w:hint="eastAsia" w:ascii="仿宋" w:hAnsi="仿宋"/>
          <w:szCs w:val="32"/>
          <w:lang w:val="zh-CN"/>
        </w:rPr>
        <w:t>（一）主要职责</w:t>
      </w:r>
    </w:p>
    <w:p>
      <w:pPr>
        <w:spacing w:line="600" w:lineRule="exact"/>
        <w:ind w:left="-316" w:leftChars="-100" w:right="-316" w:rightChars="-100" w:firstLine="645"/>
        <w:rPr>
          <w:rFonts w:ascii="仿宋" w:hAnsi="仿宋"/>
          <w:color w:val="000000"/>
          <w:szCs w:val="32"/>
        </w:rPr>
      </w:pPr>
      <w:r>
        <w:rPr>
          <w:rFonts w:hint="eastAsia" w:ascii="仿宋" w:hAnsi="仿宋"/>
          <w:szCs w:val="32"/>
        </w:rPr>
        <w:t>（二）</w:t>
      </w:r>
      <w:r>
        <w:rPr>
          <w:rFonts w:hint="eastAsia" w:ascii="仿宋" w:hAnsi="仿宋"/>
          <w:color w:val="000000"/>
          <w:szCs w:val="32"/>
        </w:rPr>
        <w:t>县法院内部机构设置情况</w:t>
      </w:r>
    </w:p>
    <w:p>
      <w:pPr>
        <w:autoSpaceDE w:val="0"/>
        <w:autoSpaceDN w:val="0"/>
        <w:adjustRightInd w:val="0"/>
        <w:spacing w:line="600" w:lineRule="exact"/>
        <w:ind w:left="-316" w:leftChars="-100" w:right="-316" w:rightChars="-100" w:firstLine="620" w:firstLineChars="196"/>
        <w:rPr>
          <w:rFonts w:ascii="仿宋" w:hAnsi="仿宋"/>
          <w:szCs w:val="32"/>
          <w:lang w:val="zh-CN"/>
        </w:rPr>
      </w:pPr>
      <w:r>
        <w:rPr>
          <w:rFonts w:hint="eastAsia" w:ascii="仿宋" w:hAnsi="仿宋"/>
          <w:szCs w:val="32"/>
          <w:lang w:val="zh-CN"/>
        </w:rPr>
        <w:t>三、2021年度部门决算收支情况</w:t>
      </w:r>
    </w:p>
    <w:p>
      <w:pPr>
        <w:autoSpaceDE w:val="0"/>
        <w:autoSpaceDN w:val="0"/>
        <w:adjustRightInd w:val="0"/>
        <w:spacing w:line="600" w:lineRule="exact"/>
        <w:ind w:left="-316" w:leftChars="-100" w:right="-316" w:rightChars="-100" w:firstLine="632" w:firstLineChars="200"/>
        <w:rPr>
          <w:rFonts w:ascii="仿宋" w:hAnsi="仿宋"/>
          <w:szCs w:val="32"/>
          <w:lang w:val="zh-CN"/>
        </w:rPr>
      </w:pPr>
      <w:r>
        <w:rPr>
          <w:rFonts w:hint="eastAsia" w:ascii="仿宋" w:hAnsi="仿宋"/>
          <w:szCs w:val="32"/>
          <w:lang w:val="zh-CN"/>
        </w:rPr>
        <w:t>（一）收入支出决算总体情况</w:t>
      </w:r>
    </w:p>
    <w:p>
      <w:pPr>
        <w:autoSpaceDE w:val="0"/>
        <w:autoSpaceDN w:val="0"/>
        <w:adjustRightInd w:val="0"/>
        <w:spacing w:line="600" w:lineRule="exact"/>
        <w:ind w:left="-316" w:leftChars="-100" w:right="-316" w:rightChars="-100" w:firstLine="620" w:firstLineChars="196"/>
        <w:rPr>
          <w:rFonts w:ascii="仿宋" w:hAnsi="仿宋"/>
          <w:szCs w:val="32"/>
          <w:lang w:val="zh-CN"/>
        </w:rPr>
      </w:pPr>
      <w:r>
        <w:rPr>
          <w:rFonts w:hint="eastAsia" w:ascii="仿宋" w:hAnsi="仿宋"/>
          <w:szCs w:val="32"/>
          <w:lang w:val="zh-CN"/>
        </w:rPr>
        <w:t>（二）财政拨款收入支出决算总体情况</w:t>
      </w:r>
    </w:p>
    <w:p>
      <w:pPr>
        <w:autoSpaceDE w:val="0"/>
        <w:autoSpaceDN w:val="0"/>
        <w:adjustRightInd w:val="0"/>
        <w:spacing w:line="600" w:lineRule="exact"/>
        <w:ind w:left="-316" w:leftChars="-100" w:right="-316" w:rightChars="-100" w:firstLine="620" w:firstLineChars="196"/>
        <w:rPr>
          <w:rFonts w:ascii="仿宋" w:hAnsi="仿宋"/>
          <w:szCs w:val="32"/>
          <w:lang w:val="zh-CN"/>
        </w:rPr>
      </w:pPr>
      <w:r>
        <w:rPr>
          <w:rFonts w:hint="eastAsia" w:ascii="仿宋" w:hAnsi="仿宋"/>
          <w:szCs w:val="32"/>
          <w:lang w:val="zh-CN"/>
        </w:rPr>
        <w:t>（三）一般公共预算财政拨款基本支出决算情况</w:t>
      </w:r>
    </w:p>
    <w:p>
      <w:pPr>
        <w:spacing w:line="600" w:lineRule="exact"/>
        <w:ind w:left="-316" w:leftChars="-100" w:right="-316" w:rightChars="-100" w:firstLine="632" w:firstLineChars="200"/>
        <w:rPr>
          <w:rFonts w:ascii="仿宋" w:hAnsi="仿宋"/>
          <w:szCs w:val="32"/>
        </w:rPr>
      </w:pPr>
      <w:r>
        <w:rPr>
          <w:rFonts w:hint="eastAsia" w:ascii="仿宋" w:hAnsi="仿宋"/>
          <w:szCs w:val="32"/>
          <w:lang w:val="zh-CN"/>
        </w:rPr>
        <w:t>四、</w:t>
      </w:r>
      <w:r>
        <w:rPr>
          <w:rFonts w:hint="eastAsia" w:ascii="仿宋" w:hAnsi="仿宋"/>
          <w:szCs w:val="32"/>
        </w:rPr>
        <w:t>关于“三公”经费支出说明</w:t>
      </w:r>
    </w:p>
    <w:p>
      <w:pPr>
        <w:autoSpaceDE w:val="0"/>
        <w:autoSpaceDN w:val="0"/>
        <w:adjustRightInd w:val="0"/>
        <w:spacing w:line="600" w:lineRule="exact"/>
        <w:ind w:left="-316" w:leftChars="-100" w:right="-316" w:rightChars="-100" w:firstLine="632" w:firstLineChars="200"/>
        <w:rPr>
          <w:rFonts w:ascii="仿宋" w:hAnsi="仿宋"/>
          <w:szCs w:val="32"/>
        </w:rPr>
      </w:pPr>
      <w:r>
        <w:rPr>
          <w:rFonts w:hint="eastAsia" w:ascii="仿宋" w:hAnsi="仿宋"/>
          <w:szCs w:val="32"/>
        </w:rPr>
        <w:t>五、关于机关运行经费支出说明</w:t>
      </w:r>
    </w:p>
    <w:p>
      <w:pPr>
        <w:spacing w:line="600" w:lineRule="exact"/>
        <w:ind w:left="-316" w:leftChars="-100" w:right="-316" w:rightChars="-100" w:firstLine="632" w:firstLineChars="200"/>
        <w:rPr>
          <w:rFonts w:ascii="仿宋" w:hAnsi="仿宋"/>
          <w:szCs w:val="32"/>
        </w:rPr>
      </w:pPr>
      <w:r>
        <w:rPr>
          <w:rFonts w:hint="eastAsia" w:ascii="仿宋" w:hAnsi="仿宋"/>
          <w:szCs w:val="32"/>
        </w:rPr>
        <w:t>六、关于政府采购支出说明</w:t>
      </w:r>
    </w:p>
    <w:p>
      <w:pPr>
        <w:autoSpaceDE w:val="0"/>
        <w:autoSpaceDN w:val="0"/>
        <w:adjustRightInd w:val="0"/>
        <w:spacing w:line="600" w:lineRule="exact"/>
        <w:ind w:left="-316" w:leftChars="-100" w:right="-316" w:rightChars="-100" w:firstLine="632" w:firstLineChars="200"/>
        <w:rPr>
          <w:rFonts w:ascii="仿宋" w:hAnsi="仿宋"/>
          <w:szCs w:val="32"/>
        </w:rPr>
      </w:pPr>
      <w:r>
        <w:rPr>
          <w:rFonts w:hint="eastAsia" w:ascii="仿宋" w:hAnsi="仿宋"/>
          <w:szCs w:val="32"/>
        </w:rPr>
        <w:t>七、关于国有资产占用情况说明</w:t>
      </w:r>
    </w:p>
    <w:p>
      <w:pPr>
        <w:spacing w:line="600" w:lineRule="exact"/>
        <w:ind w:left="-316" w:leftChars="-100" w:right="-316" w:rightChars="-100" w:firstLine="632" w:firstLineChars="200"/>
        <w:rPr>
          <w:rFonts w:ascii="仿宋" w:hAnsi="仿宋"/>
          <w:szCs w:val="32"/>
        </w:rPr>
      </w:pPr>
      <w:r>
        <w:rPr>
          <w:rFonts w:hint="eastAsia" w:ascii="仿宋" w:hAnsi="仿宋"/>
          <w:szCs w:val="32"/>
        </w:rPr>
        <w:t>八、关于2021年度预算绩效情况的说明</w:t>
      </w:r>
    </w:p>
    <w:p>
      <w:pPr>
        <w:spacing w:line="600" w:lineRule="exact"/>
        <w:ind w:left="-316" w:leftChars="-100" w:right="-316" w:rightChars="-100" w:firstLine="632" w:firstLineChars="200"/>
        <w:rPr>
          <w:rFonts w:ascii="仿宋" w:hAnsi="仿宋"/>
          <w:szCs w:val="32"/>
        </w:rPr>
      </w:pPr>
      <w:r>
        <w:rPr>
          <w:rFonts w:hint="eastAsia" w:ascii="仿宋" w:hAnsi="仿宋"/>
          <w:szCs w:val="32"/>
        </w:rPr>
        <w:t>九、其他需要说明的事项</w:t>
      </w:r>
    </w:p>
    <w:p>
      <w:pPr>
        <w:autoSpaceDE w:val="0"/>
        <w:autoSpaceDN w:val="0"/>
        <w:adjustRightInd w:val="0"/>
        <w:spacing w:line="600" w:lineRule="exact"/>
        <w:ind w:left="-316" w:leftChars="-100" w:right="-316" w:rightChars="-100" w:firstLine="620" w:firstLineChars="196"/>
        <w:rPr>
          <w:rFonts w:ascii="仿宋" w:hAnsi="仿宋"/>
          <w:szCs w:val="32"/>
          <w:lang w:val="zh-CN"/>
        </w:rPr>
      </w:pPr>
      <w:r>
        <w:rPr>
          <w:rFonts w:hint="eastAsia" w:ascii="仿宋" w:hAnsi="仿宋"/>
          <w:szCs w:val="32"/>
          <w:lang w:val="zh-CN"/>
        </w:rPr>
        <w:t>十、名词解释</w:t>
      </w:r>
    </w:p>
    <w:p>
      <w:pPr>
        <w:widowControl/>
        <w:spacing w:line="600" w:lineRule="exact"/>
        <w:jc w:val="left"/>
        <w:rPr>
          <w:rFonts w:ascii="仿宋" w:hAnsi="仿宋"/>
          <w:szCs w:val="32"/>
          <w:lang w:val="zh-CN"/>
        </w:rPr>
      </w:pPr>
    </w:p>
    <w:p>
      <w:pPr>
        <w:spacing w:line="600" w:lineRule="exact"/>
        <w:ind w:right="-316" w:rightChars="-100" w:firstLine="632" w:firstLineChars="200"/>
        <w:rPr>
          <w:rFonts w:ascii="仿宋" w:hAnsi="仿宋"/>
          <w:b/>
          <w:szCs w:val="32"/>
        </w:rPr>
      </w:pPr>
      <w:r>
        <w:rPr>
          <w:rFonts w:hint="eastAsia" w:ascii="仿宋" w:hAnsi="仿宋"/>
          <w:b/>
          <w:szCs w:val="32"/>
          <w:lang w:val="zh-CN"/>
        </w:rPr>
        <w:t>一、2021年度部门决算单位</w:t>
      </w:r>
    </w:p>
    <w:p>
      <w:pPr>
        <w:spacing w:line="600" w:lineRule="exact"/>
        <w:ind w:left="-316" w:leftChars="-100" w:right="-316" w:rightChars="-100" w:firstLine="632" w:firstLineChars="200"/>
        <w:rPr>
          <w:rFonts w:ascii="仿宋" w:hAnsi="仿宋"/>
          <w:szCs w:val="32"/>
        </w:rPr>
      </w:pPr>
      <w:r>
        <w:rPr>
          <w:rFonts w:ascii="仿宋" w:hAnsi="仿宋"/>
          <w:szCs w:val="32"/>
        </w:rPr>
        <w:t xml:space="preserve">  </w:t>
      </w:r>
      <w:r>
        <w:rPr>
          <w:rFonts w:hint="eastAsia" w:ascii="仿宋" w:hAnsi="仿宋"/>
          <w:szCs w:val="32"/>
        </w:rPr>
        <w:t>本次部门决算公开单位为建始县人民法院。</w:t>
      </w:r>
    </w:p>
    <w:p>
      <w:pPr>
        <w:autoSpaceDE w:val="0"/>
        <w:autoSpaceDN w:val="0"/>
        <w:adjustRightInd w:val="0"/>
        <w:spacing w:line="600" w:lineRule="exact"/>
        <w:ind w:right="-316" w:rightChars="-100" w:firstLine="632" w:firstLineChars="200"/>
        <w:rPr>
          <w:rFonts w:ascii="仿宋" w:hAnsi="仿宋"/>
          <w:b/>
          <w:szCs w:val="32"/>
          <w:lang w:val="zh-CN"/>
        </w:rPr>
      </w:pPr>
      <w:r>
        <w:rPr>
          <w:rFonts w:hint="eastAsia" w:ascii="仿宋" w:hAnsi="仿宋"/>
          <w:b/>
          <w:szCs w:val="32"/>
          <w:lang w:val="zh-CN"/>
        </w:rPr>
        <w:t>二、主要职责和机构设置</w:t>
      </w:r>
    </w:p>
    <w:p>
      <w:pPr>
        <w:autoSpaceDE w:val="0"/>
        <w:autoSpaceDN w:val="0"/>
        <w:adjustRightInd w:val="0"/>
        <w:spacing w:line="600" w:lineRule="exact"/>
        <w:ind w:right="-316" w:rightChars="-100" w:firstLine="632" w:firstLineChars="200"/>
        <w:rPr>
          <w:rFonts w:ascii="仿宋" w:hAnsi="仿宋"/>
          <w:b/>
          <w:szCs w:val="32"/>
          <w:lang w:val="zh-CN"/>
        </w:rPr>
      </w:pPr>
      <w:r>
        <w:rPr>
          <w:rFonts w:ascii="仿宋" w:hAnsi="仿宋" w:cs="Arial"/>
          <w:b/>
          <w:color w:val="333333"/>
          <w:szCs w:val="32"/>
        </w:rPr>
        <w:t>（一）主要职责</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依照《中华人民共和国宪法》和《人民法院组织法》的规定，建始县人民法院是国家审判机关，在县委领导、县人大监督和上级法院的指导下，依法独立行使审判权，对县人民代表大会及其常务委员会负责并报告工作。主要职责是：</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1.审理法律法规规定管辖的一审刑事、民事、行政案件；</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2.审理上级法院指定管辖和交办的案件；</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3.审理告诉、申诉案件；</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4.执行本院已经发生法律效力的判决、裁定和国家行政机关申请执行的案件和外地法院委托执行的案件；</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5.对审判和其它工作中的新情况、新问题进行调查研究，提出解决的方法和建议，针对审理和执行案件发现的问题提出司法建议；</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6.开展法制宣传工作，引导公民自觉遵守宪法和法律；</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7.承办县委、人大和上级法院交办和完成应由本院负责的其它工作。</w:t>
      </w:r>
    </w:p>
    <w:p>
      <w:pPr>
        <w:pStyle w:val="5"/>
        <w:spacing w:before="0" w:beforeAutospacing="0" w:after="0" w:afterAutospacing="0" w:line="600" w:lineRule="exact"/>
        <w:ind w:firstLine="632" w:firstLineChars="200"/>
        <w:rPr>
          <w:rFonts w:ascii="仿宋" w:hAnsi="仿宋" w:eastAsia="仿宋"/>
          <w:sz w:val="32"/>
          <w:szCs w:val="32"/>
          <w:lang w:val="zh-CN"/>
        </w:rPr>
      </w:pPr>
    </w:p>
    <w:p>
      <w:pPr>
        <w:pStyle w:val="5"/>
        <w:spacing w:before="0" w:beforeAutospacing="0" w:after="0" w:afterAutospacing="0" w:line="600" w:lineRule="exact"/>
        <w:ind w:firstLine="632" w:firstLineChars="200"/>
        <w:rPr>
          <w:rFonts w:ascii="仿宋" w:hAnsi="仿宋" w:eastAsia="仿宋"/>
          <w:sz w:val="32"/>
          <w:szCs w:val="32"/>
          <w:lang w:val="zh-CN"/>
        </w:rPr>
      </w:pPr>
    </w:p>
    <w:p>
      <w:pPr>
        <w:pStyle w:val="5"/>
        <w:spacing w:before="0" w:beforeAutospacing="0" w:after="0" w:afterAutospacing="0" w:line="600" w:lineRule="exact"/>
        <w:ind w:firstLine="632" w:firstLineChars="200"/>
        <w:rPr>
          <w:rFonts w:ascii="仿宋" w:hAnsi="仿宋" w:eastAsia="仿宋" w:cs="Times New Roman"/>
          <w:b/>
          <w:kern w:val="2"/>
          <w:sz w:val="32"/>
          <w:szCs w:val="32"/>
          <w:lang w:val="zh-CN"/>
        </w:rPr>
      </w:pPr>
      <w:r>
        <w:rPr>
          <w:rFonts w:hint="eastAsia" w:ascii="仿宋" w:hAnsi="仿宋" w:eastAsia="仿宋"/>
          <w:b/>
          <w:sz w:val="32"/>
          <w:szCs w:val="32"/>
          <w:lang w:val="zh-CN"/>
        </w:rPr>
        <w:t>（二）县法院本级内部机构设置情况</w:t>
      </w:r>
    </w:p>
    <w:p>
      <w:pPr>
        <w:pStyle w:val="5"/>
        <w:spacing w:before="0" w:beforeAutospacing="0" w:after="0" w:afterAutospacing="0" w:line="600" w:lineRule="exact"/>
        <w:ind w:firstLine="632" w:firstLineChars="200"/>
        <w:rPr>
          <w:rFonts w:ascii="仿宋" w:hAnsi="仿宋" w:eastAsia="仿宋" w:cs="Times New Roman"/>
          <w:kern w:val="2"/>
          <w:sz w:val="32"/>
          <w:szCs w:val="32"/>
          <w:lang w:val="zh-CN"/>
        </w:rPr>
      </w:pPr>
      <w:r>
        <w:rPr>
          <w:rFonts w:hint="eastAsia" w:ascii="仿宋" w:hAnsi="仿宋" w:eastAsia="仿宋" w:cs="Times New Roman"/>
          <w:kern w:val="2"/>
          <w:sz w:val="32"/>
          <w:szCs w:val="32"/>
          <w:lang w:val="zh-CN"/>
        </w:rPr>
        <w:t>本部门现内设10个职能部门，包括综合办公室、政治部、刑事审判庭、民事审判第一庭、民事审判第二庭、行政审判庭、审判管理办公室、立案庭、执行局、法警队，及5个派出法庭：业州人民法庭、茅田人民法庭、红岩寺人民法庭、景阳河人民法庭、官店口人民法庭。</w:t>
      </w:r>
    </w:p>
    <w:p>
      <w:pPr>
        <w:pStyle w:val="5"/>
        <w:spacing w:before="0" w:beforeAutospacing="0" w:after="0" w:afterAutospacing="0" w:line="600" w:lineRule="exact"/>
        <w:ind w:firstLine="632" w:firstLineChars="200"/>
        <w:rPr>
          <w:rFonts w:ascii="仿宋" w:hAnsi="仿宋" w:eastAsia="仿宋"/>
          <w:b/>
          <w:sz w:val="32"/>
          <w:szCs w:val="32"/>
          <w:lang w:val="zh-CN"/>
        </w:rPr>
      </w:pPr>
      <w:r>
        <w:rPr>
          <w:rFonts w:hint="eastAsia" w:ascii="仿宋" w:hAnsi="仿宋" w:eastAsia="仿宋"/>
          <w:b/>
          <w:sz w:val="32"/>
          <w:szCs w:val="32"/>
          <w:lang w:val="zh-CN"/>
        </w:rPr>
        <w:t>三、2021年度部门决算收支情况</w:t>
      </w:r>
    </w:p>
    <w:p>
      <w:pPr>
        <w:pStyle w:val="5"/>
        <w:spacing w:before="0" w:beforeAutospacing="0" w:after="0" w:afterAutospacing="0" w:line="600" w:lineRule="exact"/>
        <w:ind w:firstLine="632" w:firstLineChars="200"/>
        <w:rPr>
          <w:rFonts w:ascii="仿宋" w:hAnsi="仿宋" w:eastAsia="仿宋"/>
          <w:b/>
          <w:sz w:val="32"/>
          <w:szCs w:val="32"/>
          <w:lang w:val="zh-CN"/>
        </w:rPr>
      </w:pPr>
      <w:r>
        <w:rPr>
          <w:rFonts w:hint="eastAsia" w:ascii="仿宋" w:hAnsi="仿宋" w:eastAsia="仿宋"/>
          <w:b/>
          <w:sz w:val="32"/>
          <w:szCs w:val="32"/>
          <w:lang w:val="zh-CN"/>
        </w:rPr>
        <w:t>（一）收入支出决算总体情况</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本部门2021年度总收入</w:t>
      </w:r>
      <w:r>
        <w:rPr>
          <w:rFonts w:ascii="仿宋" w:hAnsi="仿宋" w:eastAsia="仿宋"/>
          <w:sz w:val="32"/>
          <w:szCs w:val="32"/>
          <w:lang w:val="zh-CN"/>
        </w:rPr>
        <w:t>3345.42</w:t>
      </w:r>
      <w:r>
        <w:rPr>
          <w:rFonts w:hint="eastAsia" w:ascii="仿宋" w:hAnsi="仿宋" w:eastAsia="仿宋"/>
          <w:sz w:val="32"/>
          <w:szCs w:val="32"/>
          <w:lang w:val="zh-CN"/>
        </w:rPr>
        <w:t>万元，比2020年度增长314.61万元，增长10.4%；2021年度总支出</w:t>
      </w:r>
      <w:r>
        <w:rPr>
          <w:rFonts w:ascii="仿宋" w:hAnsi="仿宋" w:eastAsia="仿宋"/>
          <w:sz w:val="32"/>
          <w:szCs w:val="32"/>
          <w:lang w:val="zh-CN"/>
        </w:rPr>
        <w:t>3345.42</w:t>
      </w:r>
      <w:r>
        <w:rPr>
          <w:rFonts w:hint="eastAsia" w:ascii="仿宋" w:hAnsi="仿宋" w:eastAsia="仿宋"/>
          <w:sz w:val="32"/>
          <w:szCs w:val="32"/>
          <w:lang w:val="zh-CN"/>
        </w:rPr>
        <w:t xml:space="preserve">万元，比2020年度增长314.61万元，增长10.4%。其中： </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1.收入总计</w:t>
      </w:r>
      <w:r>
        <w:rPr>
          <w:rFonts w:ascii="仿宋" w:hAnsi="仿宋" w:eastAsia="仿宋"/>
          <w:sz w:val="32"/>
          <w:szCs w:val="32"/>
          <w:lang w:val="zh-CN"/>
        </w:rPr>
        <w:t>3345.42</w:t>
      </w:r>
      <w:r>
        <w:rPr>
          <w:rFonts w:hint="eastAsia" w:ascii="仿宋" w:hAnsi="仿宋" w:eastAsia="仿宋"/>
          <w:sz w:val="32"/>
          <w:szCs w:val="32"/>
          <w:lang w:val="zh-CN"/>
        </w:rPr>
        <w:t>万元，具体包括：</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（1）财政拨款收入</w:t>
      </w:r>
      <w:r>
        <w:rPr>
          <w:rFonts w:ascii="仿宋" w:hAnsi="仿宋" w:eastAsia="仿宋"/>
          <w:sz w:val="32"/>
          <w:szCs w:val="32"/>
          <w:lang w:val="zh-CN"/>
        </w:rPr>
        <w:t>2890.03</w:t>
      </w:r>
      <w:r>
        <w:rPr>
          <w:rFonts w:hint="eastAsia" w:ascii="仿宋" w:hAnsi="仿宋" w:eastAsia="仿宋"/>
          <w:sz w:val="32"/>
          <w:szCs w:val="32"/>
          <w:lang w:val="zh-CN"/>
        </w:rPr>
        <w:t>万元，比2020年度增长108.33万元，增长3.9%。增长的主要原因</w:t>
      </w:r>
      <w:r>
        <w:rPr>
          <w:rFonts w:ascii="仿宋" w:hAnsi="仿宋" w:eastAsia="仿宋"/>
          <w:sz w:val="32"/>
          <w:szCs w:val="32"/>
          <w:lang w:val="zh-CN"/>
        </w:rPr>
        <w:t>:</w:t>
      </w:r>
      <w:r>
        <w:rPr>
          <w:rFonts w:hint="eastAsia" w:ascii="仿宋" w:hAnsi="仿宋" w:eastAsia="仿宋"/>
          <w:sz w:val="32"/>
          <w:szCs w:val="32"/>
          <w:lang w:val="zh-CN"/>
        </w:rPr>
        <w:t>一是2021年度增长了房屋维修专项经费；二是2021年度追加办案业务专项经费及 2020年度中央政法纪检监察转移支付资金。</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（2）其他收入</w:t>
      </w:r>
      <w:r>
        <w:rPr>
          <w:rFonts w:ascii="仿宋" w:hAnsi="仿宋" w:eastAsia="仿宋"/>
          <w:sz w:val="32"/>
          <w:szCs w:val="32"/>
          <w:lang w:val="zh-CN"/>
        </w:rPr>
        <w:t>454.8</w:t>
      </w:r>
      <w:r>
        <w:rPr>
          <w:rFonts w:hint="eastAsia" w:ascii="仿宋" w:hAnsi="仿宋" w:eastAsia="仿宋"/>
          <w:sz w:val="32"/>
          <w:szCs w:val="32"/>
          <w:lang w:val="zh-CN"/>
        </w:rPr>
        <w:t>万元，比2020年度增长206.27万元，增长83%。增长的主要原因：一是本部门积极落实鄂财政发〔2020〕18号文件精神，加大力度申请地方财政支持；二是2021年度其他收入包含县财政拨付经费2020年度剩余金额。</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（3）年初结转和结余0.58万元，其中财政拨款结转结余0.01万元，</w:t>
      </w:r>
      <w:r>
        <w:rPr>
          <w:rFonts w:hint="eastAsia" w:ascii="仿宋" w:hAnsi="仿宋" w:eastAsia="仿宋"/>
          <w:sz w:val="32"/>
          <w:szCs w:val="32"/>
        </w:rPr>
        <w:t>将2016年基建资金剩余资金转入至实拨资金账户中，结转金额0.01万元</w:t>
      </w:r>
      <w:r>
        <w:rPr>
          <w:rFonts w:hint="eastAsia" w:ascii="仿宋" w:hAnsi="仿宋" w:eastAsia="仿宋"/>
          <w:sz w:val="32"/>
          <w:szCs w:val="32"/>
          <w:lang w:val="zh-CN"/>
        </w:rPr>
        <w:t>；其他资金结转结余0.57万元，为实拨资金账户利息收入。</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2.支出总计</w:t>
      </w:r>
      <w:r>
        <w:rPr>
          <w:rFonts w:ascii="仿宋" w:hAnsi="仿宋" w:eastAsia="仿宋"/>
          <w:sz w:val="32"/>
          <w:szCs w:val="32"/>
          <w:lang w:val="zh-CN"/>
        </w:rPr>
        <w:t>3345.42</w:t>
      </w:r>
      <w:r>
        <w:rPr>
          <w:rFonts w:hint="eastAsia" w:ascii="仿宋" w:hAnsi="仿宋" w:eastAsia="仿宋"/>
          <w:sz w:val="32"/>
          <w:szCs w:val="32"/>
          <w:lang w:val="zh-CN"/>
        </w:rPr>
        <w:t>万元，具体包括：</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（1）本年支出合计</w:t>
      </w:r>
      <w:r>
        <w:rPr>
          <w:rFonts w:ascii="仿宋" w:hAnsi="仿宋" w:eastAsia="仿宋"/>
          <w:sz w:val="32"/>
          <w:szCs w:val="32"/>
          <w:lang w:val="zh-CN"/>
        </w:rPr>
        <w:t>3231.81</w:t>
      </w:r>
      <w:r>
        <w:rPr>
          <w:rFonts w:hint="eastAsia" w:ascii="仿宋" w:hAnsi="仿宋" w:eastAsia="仿宋"/>
          <w:sz w:val="32"/>
          <w:szCs w:val="32"/>
          <w:lang w:val="zh-CN"/>
        </w:rPr>
        <w:t>万元，比2020年度增长201万元，增长6.6%。增长的主要原因是2021年度红岩法庭维修工程支出较上一年房屋维修支出增长71.9%。</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其中：公共安全支出3082.81万元，占比95.4%；社会保障和就业支出149万元，占比4.6%。</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（2）年末结转和结余113.6万元。为当年或以前年度支出预算按有关规定结转继续使用的资金，既包括财政拨款结转和结余，也包括其他收入结转和结余。包含财政拨款结转0.01万元，非财政拨款结转113.5万元。</w:t>
      </w:r>
    </w:p>
    <w:p>
      <w:pPr>
        <w:pStyle w:val="5"/>
        <w:spacing w:before="0" w:beforeAutospacing="0" w:after="0" w:afterAutospacing="0" w:line="600" w:lineRule="exact"/>
        <w:ind w:firstLine="632" w:firstLineChars="200"/>
        <w:rPr>
          <w:rFonts w:ascii="仿宋" w:hAnsi="仿宋" w:eastAsia="仿宋"/>
          <w:b/>
          <w:sz w:val="32"/>
          <w:szCs w:val="32"/>
          <w:lang w:val="zh-CN"/>
        </w:rPr>
      </w:pPr>
      <w:r>
        <w:rPr>
          <w:rFonts w:hint="eastAsia" w:ascii="仿宋" w:hAnsi="仿宋" w:eastAsia="仿宋"/>
          <w:b/>
          <w:sz w:val="32"/>
          <w:szCs w:val="32"/>
          <w:lang w:val="zh-CN"/>
        </w:rPr>
        <w:t>（二）财政拨款收入支出决算总体情况</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2021年度本部门财政拨款收入支出总决算</w:t>
      </w:r>
      <w:r>
        <w:rPr>
          <w:rFonts w:ascii="仿宋" w:hAnsi="仿宋" w:eastAsia="仿宋"/>
          <w:sz w:val="32"/>
          <w:szCs w:val="32"/>
          <w:lang w:val="zh-CN"/>
        </w:rPr>
        <w:t>2890.04</w:t>
      </w:r>
      <w:r>
        <w:rPr>
          <w:rFonts w:hint="eastAsia" w:ascii="仿宋" w:hAnsi="仿宋" w:eastAsia="仿宋"/>
          <w:sz w:val="32"/>
          <w:szCs w:val="32"/>
          <w:lang w:val="zh-CN"/>
        </w:rPr>
        <w:t>万元，比2020年度增长108.33万元，增长3.9%。</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1.财政拨款收入总计2890.04万元，具体包括：</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（1）一般公共预算财政拨款2890.03万元，比2020年度增长108.33万元，增长3.9%。增长的主要原因</w:t>
      </w:r>
      <w:r>
        <w:rPr>
          <w:rFonts w:ascii="仿宋" w:hAnsi="仿宋" w:eastAsia="仿宋"/>
          <w:sz w:val="32"/>
          <w:szCs w:val="32"/>
          <w:lang w:val="zh-CN"/>
        </w:rPr>
        <w:t>:</w:t>
      </w:r>
      <w:r>
        <w:rPr>
          <w:rFonts w:hint="eastAsia" w:ascii="仿宋" w:hAnsi="仿宋" w:eastAsia="仿宋"/>
          <w:sz w:val="32"/>
          <w:szCs w:val="32"/>
          <w:lang w:val="zh-CN"/>
        </w:rPr>
        <w:t>一是2021年度增长了房屋维修专项经费；二是2021年度追加办案业务专项经费和 2020年度中央政法纪检监察转移支付资金。</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lang w:val="zh-CN"/>
        </w:rPr>
        <w:t>（2）年初财政拨款结转和结余0.01万元。</w:t>
      </w:r>
      <w:r>
        <w:rPr>
          <w:rFonts w:hint="eastAsia" w:ascii="仿宋" w:hAnsi="仿宋" w:eastAsia="仿宋"/>
          <w:sz w:val="32"/>
          <w:szCs w:val="32"/>
        </w:rPr>
        <w:t>将2016年基建资金剩余资金转入至实拨资金账户中，结转金额0.01万元。</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2.财政拨款支出总计2890.04万元，具体包括:</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（1）本年财政拨款支出2890.03万元，比2020年度增长108.33万元，增长3.9%。增长的主要原因</w:t>
      </w:r>
      <w:r>
        <w:rPr>
          <w:rFonts w:hint="eastAsia" w:ascii="仿宋" w:hAnsi="仿宋" w:eastAsia="仿宋"/>
          <w:sz w:val="32"/>
          <w:szCs w:val="32"/>
        </w:rPr>
        <w:t>是</w:t>
      </w:r>
      <w:r>
        <w:rPr>
          <w:rFonts w:hint="eastAsia" w:ascii="仿宋" w:hAnsi="仿宋" w:eastAsia="仿宋"/>
          <w:sz w:val="32"/>
          <w:szCs w:val="32"/>
          <w:lang w:val="zh-CN"/>
        </w:rPr>
        <w:t>2021年度红岩法庭维修工程支出较上一年房屋维修支出增长71.9%。</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其中：公共安全支出2741.03万元，占比94.8%；社会保障和就业支出149万元，占比5.2%。</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lang w:val="zh-CN"/>
        </w:rPr>
        <w:t>（2）年初财政拨款结转和结余0.01万元。</w:t>
      </w:r>
      <w:r>
        <w:rPr>
          <w:rFonts w:hint="eastAsia" w:ascii="仿宋" w:hAnsi="仿宋" w:eastAsia="仿宋"/>
          <w:sz w:val="32"/>
          <w:szCs w:val="32"/>
        </w:rPr>
        <w:t>将2016年基建资金剩余资金转入至实拨资金账户中，结转金额0.01万元。</w:t>
      </w:r>
    </w:p>
    <w:p>
      <w:pPr>
        <w:pStyle w:val="5"/>
        <w:spacing w:before="0" w:beforeAutospacing="0" w:after="0" w:afterAutospacing="0" w:line="600" w:lineRule="exact"/>
        <w:ind w:firstLine="632" w:firstLineChars="200"/>
        <w:rPr>
          <w:rFonts w:hint="eastAsia" w:ascii="仿宋" w:hAnsi="仿宋" w:eastAsia="仿宋"/>
          <w:b/>
          <w:sz w:val="32"/>
          <w:szCs w:val="32"/>
          <w:lang w:val="zh-CN"/>
        </w:rPr>
      </w:pPr>
      <w:r>
        <w:rPr>
          <w:rFonts w:hint="eastAsia" w:ascii="仿宋" w:hAnsi="仿宋" w:eastAsia="仿宋"/>
          <w:b/>
          <w:sz w:val="32"/>
          <w:szCs w:val="32"/>
          <w:lang w:val="en-US" w:eastAsia="zh-CN"/>
        </w:rPr>
        <w:t>（三）一般</w:t>
      </w:r>
      <w:r>
        <w:rPr>
          <w:rFonts w:hint="eastAsia" w:ascii="仿宋" w:hAnsi="仿宋" w:eastAsia="仿宋"/>
          <w:b/>
          <w:sz w:val="32"/>
          <w:szCs w:val="32"/>
          <w:lang w:val="zh-CN"/>
        </w:rPr>
        <w:t>公共预算财政拨款支出决算情况说明</w:t>
      </w:r>
    </w:p>
    <w:p>
      <w:pPr>
        <w:pStyle w:val="5"/>
        <w:spacing w:before="0" w:beforeAutospacing="0" w:after="0" w:afterAutospacing="0" w:line="600" w:lineRule="exact"/>
        <w:ind w:firstLine="63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1.一般公共预算财政拨款支出决算总体情况。</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2021年度一般公共预算财政拨款支出2890.03万元，占</w:t>
      </w:r>
      <w:bookmarkStart w:id="0" w:name="_GoBack"/>
      <w:bookmarkEnd w:id="0"/>
      <w:r>
        <w:rPr>
          <w:rFonts w:hint="eastAsia" w:ascii="仿宋" w:hAnsi="仿宋" w:eastAsia="仿宋"/>
          <w:sz w:val="32"/>
          <w:szCs w:val="32"/>
          <w:lang w:val="en-US" w:eastAsia="zh-CN"/>
        </w:rPr>
        <w:t>本年支出合计的89.4%。与2020年度相比，一般公共预算财政拨款支出增加 108.33万元，增长3.9%。主要原因是</w:t>
      </w:r>
      <w:r>
        <w:rPr>
          <w:rFonts w:hint="eastAsia" w:ascii="仿宋" w:hAnsi="仿宋" w:eastAsia="仿宋"/>
          <w:sz w:val="32"/>
          <w:szCs w:val="32"/>
          <w:lang w:val="zh-CN"/>
        </w:rPr>
        <w:t>2021年度红岩法庭维修工程支出较上一年房屋维修支出增长71.9%。</w:t>
      </w:r>
      <w:r>
        <w:rPr>
          <w:rFonts w:hint="eastAsia" w:ascii="仿宋" w:hAnsi="仿宋" w:eastAsia="仿宋"/>
          <w:sz w:val="32"/>
          <w:szCs w:val="32"/>
          <w:lang w:val="en-US" w:eastAsia="zh-CN"/>
        </w:rPr>
        <w:t xml:space="preserve"> </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 xml:space="preserve">2.一般公共预算财政拨款支出决算结构情况。 </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 xml:space="preserve">2021年度一般公共预算财政拨款支出2890.03万元，主要用于以下方面： </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 xml:space="preserve">（1）公共安全支出（类）2741.03万元，占94.8%。主要是用于在职在编干警及退休人员的工资、住房公积金及医保的支出，办公办案支出，业务装备支出、劳务费等。 </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 xml:space="preserve">（2）社会保障和就业支出（类）149万元，占5.2%。主要是用于在职在编干警的基本养老保险及职业年金缴费。 </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 xml:space="preserve">3.一般公共预算财政拨款支出决算具体情况。 </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 xml:space="preserve">2021年度一般公共预算财政拨款支出年初预算为2707.57万元，支出决算为2890.03万元，完成年初预算的106.7%。其中： </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（1）公共安全支出(类)法院（款）行政运行（项）。年初预算为 2215.26万元，支出决算为2354.25万元，完成年初预算的106.3%。支出决算数大于年初预算数的主要原因是省财政厅年中追加下达 2019年度绩效考核奖金经费。</w:t>
      </w:r>
    </w:p>
    <w:p>
      <w:pPr>
        <w:pStyle w:val="5"/>
        <w:spacing w:before="0" w:beforeAutospacing="0" w:after="0" w:afterAutospacing="0" w:line="600" w:lineRule="exact"/>
        <w:ind w:firstLine="632" w:firstLineChars="200"/>
        <w:rPr>
          <w:rFonts w:hint="eastAsia" w:ascii="仿宋" w:hAnsi="仿宋" w:eastAsia="仿宋"/>
          <w:sz w:val="32"/>
          <w:szCs w:val="32"/>
          <w:lang w:val="zh-CN"/>
        </w:rPr>
      </w:pPr>
      <w:r>
        <w:rPr>
          <w:rFonts w:hint="eastAsia" w:ascii="仿宋" w:hAnsi="仿宋" w:eastAsia="仿宋"/>
          <w:sz w:val="32"/>
          <w:szCs w:val="32"/>
          <w:lang w:val="en-US" w:eastAsia="zh-CN"/>
        </w:rPr>
        <w:t xml:space="preserve">（2）公共安全支出(类)法院（款）一般行政管理事务（项）。年初预算为104.91万元，支出决算为99.91万元，完成年初预算的95.2%。支出决算数小于年初预算数的主要原因是年中压缩一般性支出。 </w:t>
      </w:r>
    </w:p>
    <w:p>
      <w:pPr>
        <w:pStyle w:val="5"/>
        <w:spacing w:before="0" w:beforeAutospacing="0" w:after="0" w:afterAutospacing="0" w:line="600" w:lineRule="exact"/>
        <w:ind w:firstLine="63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（3）公共安全支出(类)法院（款）案件审判（项）。年初预算为153.4万元，支出决算为191.87元，完成年初预算的125.1%。支出决算数大于年初预算数的主要原因是省财政厅年中追加下达办案业务专项经费。 </w:t>
      </w:r>
    </w:p>
    <w:p>
      <w:pPr>
        <w:pStyle w:val="5"/>
        <w:spacing w:before="0" w:beforeAutospacing="0" w:after="0" w:afterAutospacing="0" w:line="600" w:lineRule="exact"/>
        <w:ind w:firstLine="63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（4）公共安全支出(类)法院（款）“两庭”建设（项）。年初预算为95万元，支出决算为95元，完成年初预算的100%。</w:t>
      </w:r>
    </w:p>
    <w:p>
      <w:pPr>
        <w:pStyle w:val="5"/>
        <w:spacing w:before="0" w:beforeAutospacing="0" w:after="0" w:afterAutospacing="0" w:line="600" w:lineRule="exact"/>
        <w:ind w:firstLine="63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5）社会保障和就业支出(类)行政事业单位养老支出（款）机关事业单位基本养老保险缴费支出（项）。年初预算为139万元，支出决算为149万元，完成年初预算的107.2%。支出决算数大于年初预算数的主要原因是年中调剂预算经费。 </w:t>
      </w:r>
    </w:p>
    <w:p>
      <w:pPr>
        <w:pStyle w:val="5"/>
        <w:spacing w:before="0" w:beforeAutospacing="0" w:after="0" w:afterAutospacing="0" w:line="600" w:lineRule="exact"/>
        <w:ind w:firstLine="632" w:firstLineChars="200"/>
        <w:rPr>
          <w:rFonts w:ascii="仿宋" w:hAnsi="仿宋" w:eastAsia="仿宋"/>
          <w:b/>
          <w:sz w:val="32"/>
          <w:szCs w:val="32"/>
          <w:lang w:val="zh-CN"/>
        </w:rPr>
      </w:pPr>
      <w:r>
        <w:rPr>
          <w:rFonts w:hint="eastAsia" w:ascii="仿宋" w:hAnsi="仿宋" w:eastAsia="仿宋"/>
          <w:b/>
          <w:sz w:val="32"/>
          <w:szCs w:val="32"/>
          <w:lang w:val="zh-CN"/>
        </w:rPr>
        <w:t>（</w:t>
      </w:r>
      <w:r>
        <w:rPr>
          <w:rFonts w:hint="eastAsia" w:ascii="仿宋" w:hAnsi="仿宋" w:eastAsia="仿宋"/>
          <w:b/>
          <w:sz w:val="32"/>
          <w:szCs w:val="32"/>
          <w:lang w:val="en-US" w:eastAsia="zh-CN"/>
        </w:rPr>
        <w:t>四</w:t>
      </w:r>
      <w:r>
        <w:rPr>
          <w:rFonts w:hint="eastAsia" w:ascii="仿宋" w:hAnsi="仿宋" w:eastAsia="仿宋"/>
          <w:b/>
          <w:sz w:val="32"/>
          <w:szCs w:val="32"/>
          <w:lang w:val="zh-CN"/>
        </w:rPr>
        <w:t>）一般公共预算财政拨款基本支出决算情况</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2021年度本部门一般公共预算财政拨款基本支出2503.25万元，比2020年度增长114.9万元，增长4.8%，增长的主要原因是</w:t>
      </w:r>
      <w:r>
        <w:rPr>
          <w:rFonts w:hint="eastAsia" w:ascii="仿宋" w:hAnsi="仿宋" w:eastAsia="仿宋"/>
          <w:sz w:val="32"/>
          <w:szCs w:val="32"/>
        </w:rPr>
        <w:t>新进人员工</w:t>
      </w:r>
      <w:r>
        <w:rPr>
          <w:rFonts w:hint="eastAsia" w:ascii="仿宋" w:hAnsi="仿宋" w:eastAsia="仿宋"/>
          <w:color w:val="000000"/>
          <w:sz w:val="32"/>
          <w:szCs w:val="32"/>
        </w:rPr>
        <w:t>资、公务员政策性增资、绩效考核奖金等经费支出引起人员经费相比上年有所增长</w:t>
      </w:r>
      <w:r>
        <w:rPr>
          <w:rFonts w:hint="eastAsia" w:ascii="仿宋" w:hAnsi="仿宋" w:eastAsia="仿宋"/>
          <w:sz w:val="32"/>
          <w:szCs w:val="32"/>
          <w:lang w:val="zh-CN"/>
        </w:rPr>
        <w:t>。</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一般公共预算财政拨款基本支出比年初预算增长148.99万元，增长6.3%，主要原因是预算变动下达2019年度绩效考核奖金经费169.47万元。其中：</w:t>
      </w:r>
    </w:p>
    <w:p>
      <w:pPr>
        <w:pStyle w:val="5"/>
        <w:spacing w:before="0" w:beforeAutospacing="0" w:after="0" w:afterAutospacing="0" w:line="600" w:lineRule="exact"/>
        <w:ind w:firstLine="632" w:firstLineChars="200"/>
        <w:rPr>
          <w:rFonts w:ascii="仿宋" w:hAnsi="仿宋" w:eastAsia="仿宋"/>
          <w:sz w:val="32"/>
          <w:szCs w:val="32"/>
          <w:lang w:val="zh-CN"/>
        </w:rPr>
      </w:pPr>
      <w:r>
        <w:rPr>
          <w:rFonts w:hint="eastAsia" w:ascii="仿宋" w:hAnsi="仿宋" w:eastAsia="仿宋"/>
          <w:sz w:val="32"/>
          <w:szCs w:val="32"/>
          <w:lang w:val="zh-CN"/>
        </w:rPr>
        <w:t>1.人员经费2182万元，包括工资福利支出2000.7万元，对个人和家庭补助181.3万元。</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2.公用经费321.25万元，包括商品和服务支出321.25万。</w:t>
      </w:r>
    </w:p>
    <w:p>
      <w:pPr>
        <w:pStyle w:val="5"/>
        <w:spacing w:before="0" w:beforeAutospacing="0" w:after="0" w:afterAutospacing="0" w:line="600" w:lineRule="exact"/>
        <w:ind w:firstLine="632" w:firstLineChars="200"/>
        <w:rPr>
          <w:rFonts w:ascii="仿宋" w:hAnsi="仿宋" w:eastAsia="仿宋"/>
          <w:b/>
          <w:sz w:val="32"/>
          <w:szCs w:val="32"/>
        </w:rPr>
      </w:pPr>
      <w:r>
        <w:rPr>
          <w:rFonts w:hint="eastAsia" w:ascii="仿宋" w:hAnsi="仿宋" w:eastAsia="仿宋"/>
          <w:b/>
          <w:sz w:val="32"/>
          <w:szCs w:val="32"/>
          <w:lang w:val="zh-CN"/>
        </w:rPr>
        <w:t>四、</w:t>
      </w:r>
      <w:r>
        <w:rPr>
          <w:rFonts w:hint="eastAsia" w:ascii="仿宋" w:hAnsi="仿宋" w:eastAsia="仿宋"/>
          <w:b/>
          <w:sz w:val="32"/>
          <w:szCs w:val="32"/>
        </w:rPr>
        <w:t>关于“三公”经费支出说明</w:t>
      </w:r>
    </w:p>
    <w:p>
      <w:pPr>
        <w:pStyle w:val="5"/>
        <w:spacing w:before="0" w:beforeAutospacing="0" w:after="0" w:afterAutospacing="0" w:line="600" w:lineRule="exact"/>
        <w:ind w:firstLine="632"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21年度本部门三公经费包括：公务用车运行维护费、公务用车购置费和公务接待费。</w:t>
      </w:r>
      <w:r>
        <w:rPr>
          <w:rFonts w:ascii="仿宋" w:hAnsi="仿宋" w:eastAsia="仿宋"/>
          <w:color w:val="000000"/>
          <w:sz w:val="32"/>
          <w:szCs w:val="32"/>
        </w:rPr>
        <w:t>20</w:t>
      </w:r>
      <w:r>
        <w:rPr>
          <w:rFonts w:hint="eastAsia" w:ascii="仿宋" w:hAnsi="仿宋" w:eastAsia="仿宋"/>
          <w:color w:val="000000"/>
          <w:sz w:val="32"/>
          <w:szCs w:val="32"/>
        </w:rPr>
        <w:t>21年</w:t>
      </w:r>
      <w:r>
        <w:rPr>
          <w:rFonts w:hint="eastAsia" w:ascii="仿宋" w:hAnsi="仿宋" w:eastAsia="仿宋"/>
          <w:sz w:val="32"/>
          <w:szCs w:val="32"/>
          <w:lang w:val="zh-CN"/>
        </w:rPr>
        <w:t>度</w:t>
      </w:r>
      <w:r>
        <w:rPr>
          <w:rFonts w:hint="eastAsia" w:ascii="仿宋" w:hAnsi="仿宋" w:eastAsia="仿宋"/>
          <w:color w:val="000000"/>
          <w:sz w:val="32"/>
          <w:szCs w:val="32"/>
        </w:rPr>
        <w:t>财政拨款三公经费决算数45.91万元，与</w:t>
      </w:r>
      <w:r>
        <w:rPr>
          <w:rFonts w:ascii="仿宋" w:hAnsi="仿宋" w:eastAsia="仿宋"/>
          <w:color w:val="000000"/>
          <w:sz w:val="32"/>
          <w:szCs w:val="32"/>
        </w:rPr>
        <w:t>20</w:t>
      </w:r>
      <w:r>
        <w:rPr>
          <w:rFonts w:hint="eastAsia" w:ascii="仿宋" w:hAnsi="仿宋" w:eastAsia="仿宋"/>
          <w:color w:val="000000"/>
          <w:sz w:val="32"/>
          <w:szCs w:val="32"/>
        </w:rPr>
        <w:t>20年</w:t>
      </w:r>
      <w:r>
        <w:rPr>
          <w:rFonts w:hint="eastAsia" w:ascii="仿宋" w:hAnsi="仿宋" w:eastAsia="仿宋"/>
          <w:sz w:val="32"/>
          <w:szCs w:val="32"/>
          <w:lang w:val="zh-CN"/>
        </w:rPr>
        <w:t>度</w:t>
      </w:r>
      <w:r>
        <w:rPr>
          <w:rFonts w:hint="eastAsia" w:ascii="仿宋" w:hAnsi="仿宋" w:eastAsia="仿宋"/>
          <w:color w:val="000000"/>
          <w:sz w:val="32"/>
          <w:szCs w:val="32"/>
        </w:rPr>
        <w:t>决算相比下降0.58万元，降幅1.3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21年年初预算数一致。其中：</w:t>
      </w:r>
    </w:p>
    <w:p>
      <w:pPr>
        <w:pStyle w:val="5"/>
        <w:spacing w:before="0" w:beforeAutospacing="0" w:after="0" w:afterAutospacing="0" w:line="600" w:lineRule="exact"/>
        <w:ind w:firstLine="632" w:firstLineChars="200"/>
        <w:rPr>
          <w:rFonts w:ascii="仿宋" w:hAnsi="仿宋" w:eastAsia="仿宋"/>
          <w:color w:val="000000"/>
          <w:sz w:val="32"/>
          <w:szCs w:val="32"/>
        </w:rPr>
      </w:pPr>
      <w:r>
        <w:rPr>
          <w:rFonts w:hint="eastAsia" w:ascii="仿宋" w:hAnsi="仿宋" w:eastAsia="仿宋"/>
          <w:b/>
          <w:color w:val="000000"/>
          <w:sz w:val="32"/>
          <w:szCs w:val="32"/>
        </w:rPr>
        <w:t>（一）因公出国（境）费用决算数0万元。</w:t>
      </w:r>
      <w:r>
        <w:rPr>
          <w:rFonts w:hint="eastAsia" w:ascii="仿宋" w:hAnsi="仿宋" w:eastAsia="仿宋"/>
          <w:color w:val="000000"/>
          <w:sz w:val="32"/>
          <w:szCs w:val="32"/>
        </w:rPr>
        <w:t>本部门一直未预算该科目经费。</w:t>
      </w:r>
    </w:p>
    <w:p>
      <w:pPr>
        <w:pStyle w:val="5"/>
        <w:spacing w:before="0" w:beforeAutospacing="0" w:after="0" w:afterAutospacing="0" w:line="600" w:lineRule="exact"/>
        <w:ind w:firstLine="632" w:firstLineChars="200"/>
        <w:rPr>
          <w:rFonts w:ascii="仿宋" w:hAnsi="仿宋" w:eastAsia="仿宋"/>
          <w:color w:val="000000"/>
          <w:sz w:val="32"/>
          <w:szCs w:val="32"/>
        </w:rPr>
      </w:pPr>
      <w:r>
        <w:rPr>
          <w:rFonts w:hint="eastAsia" w:ascii="仿宋" w:hAnsi="仿宋" w:eastAsia="仿宋"/>
          <w:b/>
          <w:color w:val="000000"/>
          <w:sz w:val="32"/>
          <w:szCs w:val="32"/>
        </w:rPr>
        <w:t>（二）公务用车运行维护费决算43.33万。</w:t>
      </w:r>
      <w:r>
        <w:rPr>
          <w:rFonts w:hint="eastAsia" w:ascii="仿宋" w:hAnsi="仿宋" w:eastAsia="仿宋"/>
          <w:color w:val="000000"/>
          <w:sz w:val="32"/>
          <w:szCs w:val="32"/>
        </w:rPr>
        <w:t>与年初预算一致；与2020年</w:t>
      </w:r>
      <w:r>
        <w:rPr>
          <w:rFonts w:hint="eastAsia" w:ascii="仿宋" w:hAnsi="仿宋" w:eastAsia="仿宋"/>
          <w:sz w:val="32"/>
          <w:szCs w:val="32"/>
          <w:lang w:val="zh-CN"/>
        </w:rPr>
        <w:t>度</w:t>
      </w:r>
      <w:r>
        <w:rPr>
          <w:rFonts w:hint="eastAsia" w:ascii="仿宋" w:hAnsi="仿宋" w:eastAsia="仿宋"/>
          <w:color w:val="000000"/>
          <w:sz w:val="32"/>
          <w:szCs w:val="32"/>
        </w:rPr>
        <w:t>决算数相比，下降0.58万，下降幅度1.3</w:t>
      </w:r>
      <w:r>
        <w:rPr>
          <w:rFonts w:ascii="仿宋" w:hAnsi="仿宋" w:eastAsia="仿宋"/>
          <w:color w:val="000000"/>
          <w:sz w:val="32"/>
          <w:szCs w:val="32"/>
        </w:rPr>
        <w:t>%</w:t>
      </w:r>
      <w:r>
        <w:rPr>
          <w:rFonts w:hint="eastAsia" w:ascii="仿宋" w:hAnsi="仿宋" w:eastAsia="仿宋"/>
          <w:color w:val="000000"/>
          <w:sz w:val="32"/>
          <w:szCs w:val="32"/>
        </w:rPr>
        <w:t>。下降的主要原因是厉行节约，降低了公务用车运行成本。</w:t>
      </w:r>
    </w:p>
    <w:p>
      <w:pPr>
        <w:pStyle w:val="5"/>
        <w:spacing w:before="0" w:beforeAutospacing="0" w:after="0" w:afterAutospacing="0" w:line="600" w:lineRule="exact"/>
        <w:ind w:firstLine="632" w:firstLineChars="200"/>
        <w:rPr>
          <w:rFonts w:ascii="仿宋" w:hAnsi="仿宋" w:eastAsia="仿宋"/>
          <w:color w:val="000000"/>
          <w:sz w:val="32"/>
          <w:szCs w:val="32"/>
        </w:rPr>
      </w:pPr>
      <w:r>
        <w:rPr>
          <w:rFonts w:hint="eastAsia" w:ascii="仿宋" w:hAnsi="仿宋" w:eastAsia="仿宋"/>
          <w:b/>
          <w:color w:val="000000"/>
          <w:sz w:val="32"/>
          <w:szCs w:val="32"/>
        </w:rPr>
        <w:t>（三）公务接待费决算2万元。</w:t>
      </w:r>
      <w:r>
        <w:rPr>
          <w:rFonts w:hint="eastAsia" w:ascii="仿宋" w:hAnsi="仿宋" w:eastAsia="仿宋"/>
          <w:color w:val="000000"/>
          <w:sz w:val="32"/>
          <w:szCs w:val="32"/>
        </w:rPr>
        <w:t>与年初预算一致；与2020年</w:t>
      </w:r>
      <w:r>
        <w:rPr>
          <w:rFonts w:hint="eastAsia" w:ascii="仿宋" w:hAnsi="仿宋" w:eastAsia="仿宋"/>
          <w:sz w:val="32"/>
          <w:szCs w:val="32"/>
          <w:lang w:val="zh-CN"/>
        </w:rPr>
        <w:t>度</w:t>
      </w:r>
      <w:r>
        <w:rPr>
          <w:rFonts w:hint="eastAsia" w:ascii="仿宋" w:hAnsi="仿宋" w:eastAsia="仿宋"/>
          <w:color w:val="000000"/>
          <w:sz w:val="32"/>
          <w:szCs w:val="32"/>
        </w:rPr>
        <w:t>决算相比无变动。本部门严格执行中央及省委、省政府有关政策规定，严格加强财务管理，厉行节约，压缩公务接待费。全年公务接待批次48次，接待人次286人。</w:t>
      </w:r>
    </w:p>
    <w:p>
      <w:pPr>
        <w:pStyle w:val="5"/>
        <w:spacing w:before="0" w:beforeAutospacing="0" w:after="0" w:afterAutospacing="0" w:line="600" w:lineRule="exact"/>
        <w:ind w:firstLine="632" w:firstLineChars="200"/>
        <w:rPr>
          <w:rFonts w:ascii="仿宋" w:hAnsi="仿宋" w:eastAsia="仿宋"/>
          <w:color w:val="000000"/>
          <w:sz w:val="32"/>
          <w:szCs w:val="32"/>
        </w:rPr>
      </w:pPr>
      <w:r>
        <w:rPr>
          <w:rFonts w:hint="eastAsia" w:ascii="仿宋" w:hAnsi="仿宋" w:eastAsia="仿宋"/>
          <w:b/>
          <w:color w:val="000000"/>
          <w:sz w:val="32"/>
          <w:szCs w:val="32"/>
        </w:rPr>
        <w:t>（四）公务用车购置费决算0万元。</w:t>
      </w:r>
      <w:r>
        <w:rPr>
          <w:rFonts w:hint="eastAsia" w:ascii="仿宋" w:hAnsi="仿宋" w:eastAsia="仿宋"/>
          <w:color w:val="000000"/>
          <w:sz w:val="32"/>
          <w:szCs w:val="32"/>
        </w:rPr>
        <w:t>与年初预算一致，与2020年</w:t>
      </w:r>
      <w:r>
        <w:rPr>
          <w:rFonts w:hint="eastAsia" w:ascii="仿宋" w:hAnsi="仿宋" w:eastAsia="仿宋"/>
          <w:sz w:val="32"/>
          <w:szCs w:val="32"/>
          <w:lang w:val="zh-CN"/>
        </w:rPr>
        <w:t>度</w:t>
      </w:r>
      <w:r>
        <w:rPr>
          <w:rFonts w:hint="eastAsia" w:ascii="仿宋" w:hAnsi="仿宋" w:eastAsia="仿宋"/>
          <w:color w:val="000000"/>
          <w:sz w:val="32"/>
          <w:szCs w:val="32"/>
        </w:rPr>
        <w:t>决算数相比无变化。公务用车购置数为0，公务用车保有量为18辆。</w:t>
      </w:r>
    </w:p>
    <w:p>
      <w:pPr>
        <w:pStyle w:val="5"/>
        <w:spacing w:before="0" w:beforeAutospacing="0" w:after="0" w:afterAutospacing="0" w:line="600" w:lineRule="exact"/>
        <w:ind w:firstLine="632" w:firstLineChars="200"/>
        <w:rPr>
          <w:rFonts w:ascii="仿宋" w:hAnsi="仿宋" w:eastAsia="仿宋"/>
          <w:b/>
          <w:sz w:val="32"/>
          <w:szCs w:val="32"/>
        </w:rPr>
      </w:pPr>
      <w:r>
        <w:rPr>
          <w:rFonts w:hint="eastAsia" w:ascii="仿宋" w:hAnsi="仿宋" w:eastAsia="仿宋"/>
          <w:b/>
          <w:sz w:val="32"/>
          <w:szCs w:val="32"/>
        </w:rPr>
        <w:t>五、关于机关运行经费支出说明</w:t>
      </w:r>
    </w:p>
    <w:p>
      <w:pPr>
        <w:pStyle w:val="5"/>
        <w:spacing w:before="0" w:beforeAutospacing="0" w:after="0" w:afterAutospacing="0" w:line="600" w:lineRule="exact"/>
        <w:ind w:firstLine="632" w:firstLineChars="200"/>
        <w:rPr>
          <w:rFonts w:ascii="仿宋" w:hAnsi="仿宋" w:eastAsia="仿宋" w:cs="仿宋"/>
          <w:bCs/>
          <w:color w:val="000000"/>
          <w:sz w:val="32"/>
          <w:szCs w:val="32"/>
        </w:rPr>
      </w:pPr>
      <w:r>
        <w:rPr>
          <w:rFonts w:hint="eastAsia" w:ascii="仿宋" w:hAnsi="仿宋" w:eastAsia="仿宋" w:cs="仿宋"/>
          <w:bCs/>
          <w:color w:val="000000"/>
          <w:sz w:val="32"/>
          <w:szCs w:val="32"/>
        </w:rPr>
        <w:t>本部门2021年度机关运行经费支出321.25万元，其中：办公费24.31万元、印刷费2.77万元、水费1.24万元、电费9.59万元、邮电费24.38万元、差旅费10万元、租赁费1.2万元、委托业务费4.2万元、工会经费10万元、公务接待费2万元、劳务费65.8万元、福利费8.15万元、公务用车运行维护费11.35万元、其他交通费用66.75万元、其他商品和服务支出79.51万元。</w:t>
      </w:r>
    </w:p>
    <w:p>
      <w:pPr>
        <w:pStyle w:val="5"/>
        <w:spacing w:before="0" w:beforeAutospacing="0" w:after="0" w:afterAutospacing="0" w:line="600" w:lineRule="exact"/>
        <w:ind w:firstLine="632" w:firstLineChars="200"/>
        <w:rPr>
          <w:rFonts w:ascii="仿宋" w:hAnsi="仿宋" w:eastAsia="仿宋" w:cs="仿宋"/>
          <w:bCs/>
          <w:color w:val="000000"/>
          <w:sz w:val="32"/>
          <w:szCs w:val="32"/>
        </w:rPr>
      </w:pPr>
      <w:r>
        <w:rPr>
          <w:rFonts w:hint="eastAsia" w:ascii="仿宋" w:hAnsi="仿宋" w:eastAsia="仿宋" w:cs="仿宋"/>
          <w:bCs/>
          <w:color w:val="000000"/>
          <w:sz w:val="32"/>
          <w:szCs w:val="32"/>
        </w:rPr>
        <w:t>2021年度机关运行经费支出比年初预算</w:t>
      </w:r>
      <w:r>
        <w:rPr>
          <w:rFonts w:hint="eastAsia" w:ascii="仿宋" w:hAnsi="仿宋" w:eastAsia="仿宋"/>
          <w:color w:val="000000"/>
          <w:sz w:val="32"/>
          <w:szCs w:val="32"/>
        </w:rPr>
        <w:t>下降</w:t>
      </w:r>
      <w:r>
        <w:rPr>
          <w:rFonts w:hint="eastAsia" w:ascii="仿宋" w:hAnsi="仿宋" w:eastAsia="仿宋" w:cs="仿宋"/>
          <w:bCs/>
          <w:color w:val="000000"/>
          <w:sz w:val="32"/>
          <w:szCs w:val="32"/>
        </w:rPr>
        <w:t>20.48万元，降低6%。主要原因是：落实过紧日子要求压减办公费支出以及其他交通费用支出。</w:t>
      </w:r>
    </w:p>
    <w:p>
      <w:pPr>
        <w:pStyle w:val="5"/>
        <w:spacing w:before="0" w:beforeAutospacing="0" w:after="0" w:afterAutospacing="0" w:line="600" w:lineRule="exact"/>
        <w:ind w:firstLine="632" w:firstLineChars="200"/>
        <w:rPr>
          <w:rFonts w:ascii="仿宋" w:hAnsi="仿宋" w:eastAsia="仿宋"/>
          <w:b/>
          <w:sz w:val="32"/>
          <w:szCs w:val="32"/>
        </w:rPr>
      </w:pPr>
      <w:r>
        <w:rPr>
          <w:rFonts w:hint="eastAsia" w:ascii="仿宋" w:hAnsi="仿宋" w:eastAsia="仿宋"/>
          <w:b/>
          <w:sz w:val="32"/>
          <w:szCs w:val="32"/>
        </w:rPr>
        <w:t>六、关于政府采购支出说明</w:t>
      </w:r>
    </w:p>
    <w:p>
      <w:pPr>
        <w:pStyle w:val="5"/>
        <w:spacing w:before="0" w:beforeAutospacing="0" w:after="0" w:afterAutospacing="0" w:line="600" w:lineRule="exact"/>
        <w:ind w:firstLine="632" w:firstLineChars="200"/>
        <w:rPr>
          <w:rFonts w:ascii="仿宋" w:hAnsi="仿宋" w:eastAsia="仿宋" w:cs="仿宋"/>
          <w:bCs/>
          <w:color w:val="000000"/>
          <w:sz w:val="32"/>
          <w:szCs w:val="32"/>
        </w:rPr>
      </w:pPr>
      <w:r>
        <w:rPr>
          <w:rFonts w:hint="eastAsia" w:ascii="仿宋" w:hAnsi="仿宋" w:eastAsia="仿宋" w:cs="仿宋"/>
          <w:bCs/>
          <w:color w:val="000000"/>
          <w:sz w:val="32"/>
          <w:szCs w:val="32"/>
        </w:rPr>
        <w:t>本部门2021年度政府采购支出总额128.88万元，其中：。政府采购货物支出3.38万元，政府采购工程支出90.07万元，政府采购服务支出35.43万元。授予中小企业合同金额106.88万元，占政府采购支出总额的82.9%，其中：授予小微企业合同金额16.87万元，占政府采购支出总额的13.1%。</w:t>
      </w:r>
    </w:p>
    <w:p>
      <w:pPr>
        <w:pStyle w:val="5"/>
        <w:spacing w:before="0" w:beforeAutospacing="0" w:after="0" w:afterAutospacing="0" w:line="600" w:lineRule="exact"/>
        <w:ind w:firstLine="632" w:firstLineChars="200"/>
        <w:rPr>
          <w:rFonts w:ascii="仿宋" w:hAnsi="仿宋" w:eastAsia="仿宋"/>
          <w:b/>
          <w:sz w:val="32"/>
          <w:szCs w:val="32"/>
        </w:rPr>
      </w:pPr>
      <w:r>
        <w:rPr>
          <w:rFonts w:hint="eastAsia" w:ascii="仿宋" w:hAnsi="仿宋" w:eastAsia="仿宋"/>
          <w:b/>
          <w:sz w:val="32"/>
          <w:szCs w:val="32"/>
        </w:rPr>
        <w:t>七、关于国有资产占有情况说明</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截止2021年12月31日，部门共有车辆17辆，其中，执法执勤用车12辆、特种专业技术用车5辆；单位价值50万元以上通用设备0台，单价100万元(含)以上专用设备1套。</w:t>
      </w:r>
    </w:p>
    <w:p>
      <w:pPr>
        <w:pStyle w:val="5"/>
        <w:spacing w:before="0" w:beforeAutospacing="0" w:after="0" w:afterAutospacing="0" w:line="600" w:lineRule="exact"/>
        <w:ind w:firstLine="632" w:firstLineChars="200"/>
        <w:rPr>
          <w:rFonts w:ascii="仿宋" w:hAnsi="仿宋" w:eastAsia="仿宋"/>
          <w:b/>
          <w:sz w:val="32"/>
          <w:szCs w:val="32"/>
        </w:rPr>
      </w:pPr>
      <w:r>
        <w:rPr>
          <w:rFonts w:hint="eastAsia" w:ascii="仿宋" w:hAnsi="仿宋" w:eastAsia="仿宋"/>
          <w:b/>
          <w:sz w:val="32"/>
          <w:szCs w:val="32"/>
        </w:rPr>
        <w:t>八、关于2021年度预算绩效情况的说明</w:t>
      </w:r>
    </w:p>
    <w:p>
      <w:pPr>
        <w:pStyle w:val="5"/>
        <w:spacing w:before="0" w:beforeAutospacing="0" w:after="0" w:afterAutospacing="0" w:line="600" w:lineRule="exact"/>
        <w:ind w:firstLine="632" w:firstLineChars="200"/>
        <w:rPr>
          <w:rFonts w:ascii="仿宋" w:hAnsi="仿宋" w:eastAsia="仿宋" w:cs="楷体"/>
          <w:b/>
          <w:sz w:val="32"/>
          <w:szCs w:val="32"/>
        </w:rPr>
      </w:pPr>
      <w:r>
        <w:rPr>
          <w:rFonts w:hint="eastAsia" w:ascii="仿宋" w:hAnsi="仿宋" w:eastAsia="仿宋" w:cs="楷体"/>
          <w:b/>
          <w:sz w:val="32"/>
          <w:szCs w:val="32"/>
        </w:rPr>
        <w:t>（一）预算绩效管理工作开展情况</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根据预算绩效管理要求，本部门组织对2021年度一般公共预算项目支出全面开展绩效自评，共涉及项目3个，资金356.78万元，占一般公共预算项目支出总额的92.2</w:t>
      </w:r>
      <w:r>
        <w:rPr>
          <w:rFonts w:ascii="仿宋" w:hAnsi="仿宋" w:eastAsia="仿宋"/>
          <w:sz w:val="32"/>
          <w:szCs w:val="32"/>
        </w:rPr>
        <w:t>%</w:t>
      </w:r>
      <w:r>
        <w:rPr>
          <w:rFonts w:hint="eastAsia" w:ascii="仿宋" w:hAnsi="仿宋" w:eastAsia="仿宋"/>
          <w:sz w:val="32"/>
          <w:szCs w:val="32"/>
        </w:rPr>
        <w:t>。从评价情况来看，项目符合国家政策，立项规范，绩效目标设置较为合理，项目实施规范有序，产出指标和效果指标完成情况较好，社会效益较为显著。</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组织开展部门整体支出绩效评价，评价情况来看，2021年度的预算编制基本合理，预算执行严格有效，严格遵守国库集中支付制度，严格执行各项财经法规和会计制度，产出及效益成果较好。</w:t>
      </w:r>
    </w:p>
    <w:p>
      <w:pPr>
        <w:pStyle w:val="5"/>
        <w:spacing w:before="0" w:beforeAutospacing="0" w:after="0" w:afterAutospacing="0" w:line="600" w:lineRule="exact"/>
        <w:ind w:firstLine="632" w:firstLineChars="200"/>
        <w:rPr>
          <w:rFonts w:ascii="仿宋" w:hAnsi="仿宋" w:eastAsia="仿宋" w:cs="楷体"/>
          <w:b/>
          <w:sz w:val="32"/>
          <w:szCs w:val="32"/>
        </w:rPr>
      </w:pPr>
      <w:r>
        <w:rPr>
          <w:rFonts w:hint="eastAsia" w:ascii="仿宋" w:hAnsi="仿宋" w:eastAsia="仿宋" w:cs="楷体"/>
          <w:b/>
          <w:sz w:val="32"/>
          <w:szCs w:val="32"/>
        </w:rPr>
        <w:t>（二）部门决算中项目绩效自评结果</w:t>
      </w:r>
      <w:r>
        <w:rPr>
          <w:rFonts w:ascii="仿宋" w:hAnsi="仿宋" w:eastAsia="仿宋" w:cs="楷体"/>
          <w:b/>
          <w:sz w:val="32"/>
          <w:szCs w:val="32"/>
        </w:rPr>
        <w:t xml:space="preserve"> </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本部门今年在省级部门决算中反映所有项目绩效自评结果（涉密项目除外）。</w:t>
      </w:r>
    </w:p>
    <w:p>
      <w:pPr>
        <w:pStyle w:val="5"/>
        <w:spacing w:before="0" w:beforeAutospacing="0" w:after="0" w:afterAutospacing="0" w:line="600" w:lineRule="exact"/>
        <w:ind w:firstLine="632"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21年度办案业务专项经费项目绩效自评综述</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项目全年预算数为191.87万元，执行数191.87万元，完成预算100</w:t>
      </w:r>
      <w:r>
        <w:rPr>
          <w:rFonts w:ascii="仿宋" w:hAnsi="仿宋" w:eastAsia="仿宋"/>
          <w:sz w:val="32"/>
          <w:szCs w:val="32"/>
        </w:rPr>
        <w:t>%</w:t>
      </w:r>
      <w:r>
        <w:rPr>
          <w:rFonts w:hint="eastAsia" w:ascii="仿宋" w:hAnsi="仿宋" w:eastAsia="仿宋"/>
          <w:sz w:val="32"/>
          <w:szCs w:val="32"/>
        </w:rPr>
        <w:t>。主要产出和效益：一是案件结案率93.98%；二是案件发回重审率1.57%；三是法定审限内结案率98.74%；四是促进经济发展社会和谐稳定；五是促进当事人合法权益。</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发现的问题及原因</w:t>
      </w:r>
      <w:r>
        <w:rPr>
          <w:rFonts w:ascii="仿宋" w:hAnsi="仿宋" w:eastAsia="仿宋"/>
          <w:sz w:val="32"/>
          <w:szCs w:val="32"/>
        </w:rPr>
        <w:t>:</w:t>
      </w:r>
      <w:r>
        <w:rPr>
          <w:rFonts w:hint="eastAsia" w:ascii="仿宋" w:hAnsi="仿宋" w:eastAsia="仿宋"/>
          <w:sz w:val="32"/>
          <w:szCs w:val="32"/>
        </w:rPr>
        <w:t xml:space="preserve"> 一是各类案件结案率93.98%，未完成预期目标值96.5%，偏离原因是案件收案数量上升，办案效率需进一步提升；二是案件发回重审率1.57%，未完成预期目标值1%，偏离原因是遇到疑难案件请示沟通欠缺，未充分利用“法信智能推送”平台、类案推送、中国裁判文书网等，案件质量有待提升；三是法定审限内结案率98.74%，未完成预期目标值99.8%，偏离原因是案件结案率统计数据中包含扣除审限和延长审限的案件，故总体正常审限期内案件结案率数据降低，未达到预期目标值。</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下一步改进措施：在之后的绩效目标值设定过程中与审判业务有关的指标数据应与审管办详细沟通，弄懂每个指标的影响因素,设定合理的预期值。</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2、2021年度综合运转保障专项经费项目绩效自评综述</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项目全年预算数69.91万元，执行数69.91万元，完成预算100%。主要产出和效益：一是项目成本控制不超预算；二是年度计划工作完成率100%；三是公共设施完好率100%；四是设施设备及时维护；五是保障机关正常运转；六是项目受益人员满意度99%。</w:t>
      </w:r>
      <w:r>
        <w:rPr>
          <w:rFonts w:ascii="仿宋" w:hAnsi="仿宋" w:eastAsia="仿宋"/>
          <w:sz w:val="32"/>
          <w:szCs w:val="32"/>
        </w:rPr>
        <w:t xml:space="preserve"> </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发现的问题及原因</w:t>
      </w:r>
      <w:r>
        <w:rPr>
          <w:rFonts w:ascii="仿宋" w:hAnsi="仿宋" w:eastAsia="仿宋"/>
          <w:sz w:val="32"/>
          <w:szCs w:val="32"/>
        </w:rPr>
        <w:t>:</w:t>
      </w:r>
      <w:r>
        <w:rPr>
          <w:rFonts w:hint="eastAsia" w:ascii="仿宋" w:hAnsi="仿宋" w:eastAsia="仿宋"/>
          <w:sz w:val="32"/>
          <w:szCs w:val="32"/>
        </w:rPr>
        <w:t xml:space="preserve"> 本年度综合运转保障专项经费绩效从执行率和相应指标数据来看，暂无影响绩效目标实现的问题，但在绩效目标指标设置上面应更完整、细化、科学。</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下一步改进措施：将根据绩效自评结果改进不足之处，建立健全绩效考评机制，使预算编制更加细化、完整、科学。按要求公开绩效自评结，接受各项意见，完成好下一次的绩效目标。</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3、2021年度房屋维修专项经费项目绩效自评综述</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项目全年预算数95万元，执行数95万元，完成预算100%。主要产出和效益：一是工程进度达标率100%；二是成本控制率100%；三是工程质量合格率100%；四是工作环境满意率98%；五是工程安全事故0起。</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发现的问题及原因</w:t>
      </w:r>
      <w:r>
        <w:rPr>
          <w:rFonts w:ascii="仿宋" w:hAnsi="仿宋" w:eastAsia="仿宋"/>
          <w:sz w:val="32"/>
          <w:szCs w:val="32"/>
        </w:rPr>
        <w:t>:</w:t>
      </w:r>
      <w:r>
        <w:rPr>
          <w:rFonts w:hint="eastAsia" w:ascii="仿宋" w:hAnsi="仿宋" w:eastAsia="仿宋"/>
          <w:sz w:val="32"/>
          <w:szCs w:val="32"/>
        </w:rPr>
        <w:t xml:space="preserve"> 本年度房屋维修专项经费较好地完成了各项绩效目标，暂无影响绩效目标实现的问题，但在绩效目标指标设置上面应更完整、细化、科学。</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下一步改进措施：将根据绩效自评结果改进不足之处，建立健全绩效考评机制，使预算编制更加细化、完整、科学。按要求公开绩效自评结，接受各项意见，完成好下一次的绩效目标。</w:t>
      </w:r>
    </w:p>
    <w:p>
      <w:pPr>
        <w:pStyle w:val="5"/>
        <w:spacing w:before="0" w:beforeAutospacing="0" w:after="0" w:afterAutospacing="0" w:line="600" w:lineRule="exact"/>
        <w:ind w:firstLine="632" w:firstLineChars="200"/>
        <w:rPr>
          <w:rFonts w:ascii="仿宋" w:hAnsi="仿宋" w:eastAsia="仿宋" w:cs="楷体"/>
          <w:b/>
          <w:sz w:val="32"/>
          <w:szCs w:val="32"/>
        </w:rPr>
      </w:pPr>
      <w:r>
        <w:rPr>
          <w:rFonts w:hint="eastAsia" w:ascii="仿宋" w:hAnsi="仿宋" w:eastAsia="仿宋" w:cs="楷体"/>
          <w:b/>
          <w:sz w:val="32"/>
          <w:szCs w:val="32"/>
        </w:rPr>
        <w:t>（三）绩效评价结果应用情况</w:t>
      </w:r>
    </w:p>
    <w:p>
      <w:pPr>
        <w:pStyle w:val="5"/>
        <w:spacing w:before="0" w:beforeAutospacing="0" w:after="0" w:afterAutospacing="0" w:line="600" w:lineRule="exact"/>
        <w:ind w:firstLine="632"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.部门绩效评价结果应用情况</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要进一步加强项目预算执行和绩效目标完成的契合程度，完善项目绩效指标体系库，规范和完善项目绩效考核指标。</w:t>
      </w:r>
    </w:p>
    <w:p>
      <w:pPr>
        <w:pStyle w:val="5"/>
        <w:spacing w:before="0" w:beforeAutospacing="0" w:after="0" w:afterAutospacing="0" w:line="600" w:lineRule="exact"/>
        <w:ind w:firstLine="632"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.部门绩效评价结果拟应用情况</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根据绩效结果，进一步提高对预算绩效管理工作的认识和重视程度，通过绩效评价结果来促进预算资金合理分配，进一步优化资源配置，提高资金使用效益。</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部门整体支出绩效和项目绩效自评表作为附件附后。</w:t>
      </w:r>
    </w:p>
    <w:p>
      <w:pPr>
        <w:pStyle w:val="5"/>
        <w:spacing w:before="0" w:beforeAutospacing="0" w:after="0" w:afterAutospacing="0" w:line="600" w:lineRule="exact"/>
        <w:ind w:firstLine="632" w:firstLineChars="200"/>
        <w:rPr>
          <w:rFonts w:ascii="仿宋" w:hAnsi="仿宋" w:eastAsia="仿宋"/>
          <w:b/>
          <w:sz w:val="32"/>
          <w:szCs w:val="32"/>
        </w:rPr>
      </w:pPr>
      <w:r>
        <w:rPr>
          <w:rFonts w:hint="eastAsia" w:ascii="仿宋" w:hAnsi="仿宋" w:eastAsia="仿宋"/>
          <w:b/>
          <w:sz w:val="32"/>
          <w:szCs w:val="32"/>
        </w:rPr>
        <w:t>九、其他需要说明的事项</w:t>
      </w:r>
    </w:p>
    <w:p>
      <w:pPr>
        <w:pStyle w:val="5"/>
        <w:spacing w:before="0" w:beforeAutospacing="0" w:after="0" w:afterAutospacing="0" w:line="600" w:lineRule="exact"/>
        <w:ind w:firstLine="632" w:firstLineChars="200"/>
        <w:rPr>
          <w:rFonts w:ascii="仿宋" w:hAnsi="仿宋" w:eastAsia="仿宋"/>
          <w:color w:val="333333"/>
          <w:sz w:val="32"/>
          <w:szCs w:val="32"/>
          <w:shd w:val="clear" w:color="auto" w:fill="FFFFFF"/>
        </w:rPr>
      </w:pPr>
      <w:r>
        <w:rPr>
          <w:rFonts w:hint="eastAsia" w:ascii="仿宋" w:hAnsi="仿宋" w:eastAsia="仿宋"/>
          <w:sz w:val="32"/>
          <w:szCs w:val="32"/>
        </w:rPr>
        <w:t>（一）2021年度决算公开表见附件，</w:t>
      </w:r>
      <w:r>
        <w:rPr>
          <w:rFonts w:hint="eastAsia" w:ascii="仿宋" w:hAnsi="仿宋" w:eastAsia="仿宋"/>
          <w:color w:val="333333"/>
          <w:sz w:val="32"/>
          <w:szCs w:val="32"/>
          <w:shd w:val="clear" w:color="auto" w:fill="FFFFFF"/>
        </w:rPr>
        <w:t>因本部门 2021年</w:t>
      </w:r>
      <w:r>
        <w:rPr>
          <w:rFonts w:hint="eastAsia" w:ascii="仿宋" w:hAnsi="仿宋" w:eastAsia="仿宋"/>
          <w:sz w:val="32"/>
          <w:szCs w:val="32"/>
          <w:lang w:val="zh-CN"/>
        </w:rPr>
        <w:t>度</w:t>
      </w:r>
      <w:r>
        <w:rPr>
          <w:rFonts w:hint="eastAsia" w:ascii="仿宋" w:hAnsi="仿宋" w:eastAsia="仿宋"/>
          <w:color w:val="333333"/>
          <w:sz w:val="32"/>
          <w:szCs w:val="32"/>
          <w:shd w:val="clear" w:color="auto" w:fill="FFFFFF"/>
        </w:rPr>
        <w:t>无政府性基金收支和国有资本经营收支，故2021年</w:t>
      </w:r>
      <w:r>
        <w:rPr>
          <w:rFonts w:hint="eastAsia" w:ascii="仿宋" w:hAnsi="仿宋" w:eastAsia="仿宋"/>
          <w:sz w:val="32"/>
          <w:szCs w:val="32"/>
          <w:lang w:val="zh-CN"/>
        </w:rPr>
        <w:t>度</w:t>
      </w:r>
      <w:r>
        <w:rPr>
          <w:rFonts w:hint="eastAsia" w:ascii="仿宋" w:hAnsi="仿宋" w:eastAsia="仿宋"/>
          <w:color w:val="333333"/>
          <w:sz w:val="32"/>
          <w:szCs w:val="32"/>
          <w:shd w:val="clear" w:color="auto" w:fill="FFFFFF"/>
        </w:rPr>
        <w:t>决算公开表中表8《</w:t>
      </w:r>
      <w:r>
        <w:rPr>
          <w:rFonts w:hint="eastAsia" w:ascii="仿宋" w:hAnsi="仿宋" w:eastAsia="仿宋"/>
          <w:sz w:val="32"/>
          <w:szCs w:val="32"/>
        </w:rPr>
        <w:t>政府性</w:t>
      </w:r>
      <w:r>
        <w:rPr>
          <w:rFonts w:ascii="仿宋" w:hAnsi="仿宋" w:eastAsia="仿宋"/>
          <w:sz w:val="32"/>
          <w:szCs w:val="32"/>
        </w:rPr>
        <w:t>基金预算财政拨款收入支出决算表</w:t>
      </w:r>
      <w:r>
        <w:rPr>
          <w:rFonts w:hint="eastAsia" w:ascii="仿宋" w:hAnsi="仿宋" w:eastAsia="仿宋"/>
          <w:color w:val="333333"/>
          <w:sz w:val="32"/>
          <w:szCs w:val="32"/>
          <w:shd w:val="clear" w:color="auto" w:fill="FFFFFF"/>
        </w:rPr>
        <w:t>》、表</w:t>
      </w:r>
      <w:r>
        <w:rPr>
          <w:rFonts w:ascii="仿宋" w:hAnsi="仿宋" w:eastAsia="仿宋"/>
          <w:color w:val="333333"/>
          <w:sz w:val="32"/>
          <w:szCs w:val="32"/>
          <w:shd w:val="clear" w:color="auto" w:fill="FFFFFF"/>
        </w:rPr>
        <w:t>9</w:t>
      </w:r>
      <w:r>
        <w:rPr>
          <w:rFonts w:hint="eastAsia" w:ascii="仿宋" w:hAnsi="仿宋" w:eastAsia="仿宋"/>
          <w:color w:val="333333"/>
          <w:sz w:val="32"/>
          <w:szCs w:val="32"/>
          <w:shd w:val="clear" w:color="auto" w:fill="FFFFFF"/>
        </w:rPr>
        <w:t>《国有资本经营预算</w:t>
      </w:r>
      <w:r>
        <w:rPr>
          <w:rFonts w:hint="eastAsia" w:ascii="仿宋" w:hAnsi="仿宋" w:eastAsia="仿宋"/>
          <w:sz w:val="32"/>
          <w:szCs w:val="32"/>
        </w:rPr>
        <w:t>财政拨款</w:t>
      </w:r>
      <w:r>
        <w:rPr>
          <w:rFonts w:ascii="仿宋" w:hAnsi="仿宋" w:eastAsia="仿宋"/>
          <w:sz w:val="32"/>
          <w:szCs w:val="32"/>
        </w:rPr>
        <w:t>支出决算表</w:t>
      </w:r>
      <w:r>
        <w:rPr>
          <w:rFonts w:hint="eastAsia" w:ascii="仿宋" w:hAnsi="仿宋" w:eastAsia="仿宋"/>
          <w:color w:val="333333"/>
          <w:sz w:val="32"/>
          <w:szCs w:val="32"/>
          <w:shd w:val="clear" w:color="auto" w:fill="FFFFFF"/>
        </w:rPr>
        <w:t>》为空表；</w:t>
      </w:r>
    </w:p>
    <w:p>
      <w:pPr>
        <w:pStyle w:val="5"/>
        <w:spacing w:before="0" w:beforeAutospacing="0" w:after="0" w:afterAutospacing="0" w:line="600" w:lineRule="exact"/>
        <w:ind w:firstLine="632"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（二）公开表数据单位均为万元，因数据四舍五入的原因，部分数据合计数与分项之间存在细微的差额。</w:t>
      </w:r>
    </w:p>
    <w:p>
      <w:pPr>
        <w:pStyle w:val="5"/>
        <w:spacing w:before="0" w:beforeAutospacing="0" w:after="0" w:afterAutospacing="0" w:line="600" w:lineRule="exact"/>
        <w:ind w:firstLine="632" w:firstLineChars="200"/>
        <w:rPr>
          <w:rFonts w:ascii="仿宋" w:hAnsi="仿宋" w:eastAsia="仿宋"/>
          <w:b/>
          <w:sz w:val="32"/>
          <w:szCs w:val="32"/>
        </w:rPr>
      </w:pPr>
      <w:r>
        <w:rPr>
          <w:rFonts w:hint="eastAsia" w:ascii="仿宋" w:hAnsi="仿宋" w:eastAsia="仿宋"/>
          <w:b/>
          <w:sz w:val="32"/>
          <w:szCs w:val="32"/>
        </w:rPr>
        <w:t>十、专业名词解释</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（一）财政拨款收入：指省财政当年拨付的资金。</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（二）其他收入：指除财政拨款收入以外的收入。主要是按规定动用的地方政府拨款收入、补助收入等。</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（三）基本支出：指为保障机构正常运转、完成日常工作任务而发生的人员支出和公用支出。</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（四）项目支出：指在基本支出之外为完成特定行政任务和事业发展目标所发生的支出。</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（六）行政运行：指行政单位的基本支出。</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（七）一般行政管理事务：指行政单位未单独设置项级科目的其他项目支出。</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（八）案件审判：指人民法院对刑事、民事、行政、涉外等案件审判活动的支出。</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九）机关运行经费：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（十）年初结转和结余：指以前年度尚未完成、结转到本年仍按原规定用途继续使用的资金，或项目已完成等产生的结余资金。</w:t>
      </w:r>
    </w:p>
    <w:p>
      <w:pPr>
        <w:pStyle w:val="5"/>
        <w:spacing w:before="0" w:beforeAutospacing="0" w:after="0" w:afterAutospacing="0" w:line="600" w:lineRule="exact"/>
        <w:ind w:firstLine="632" w:firstLineChars="200"/>
        <w:rPr>
          <w:rFonts w:ascii="仿宋" w:hAnsi="仿宋" w:eastAsia="仿宋"/>
          <w:sz w:val="32"/>
          <w:szCs w:val="32"/>
        </w:rPr>
      </w:pPr>
      <w:r>
        <w:rPr>
          <w:rFonts w:hint="eastAsia" w:ascii="仿宋" w:hAnsi="仿宋" w:eastAsia="仿宋"/>
          <w:sz w:val="32"/>
          <w:szCs w:val="32"/>
        </w:rPr>
        <w:t>（十一）年末结转和结余：指单位按有关规定结转到下年或以后年度继续使用的资金，或项目已完成等产生的结余资金。</w:t>
      </w:r>
    </w:p>
    <w:p>
      <w:pPr>
        <w:pStyle w:val="5"/>
        <w:spacing w:before="0" w:beforeAutospacing="0" w:after="0" w:afterAutospacing="0" w:line="600" w:lineRule="exact"/>
        <w:ind w:left="1893" w:leftChars="200" w:hanging="1261" w:hangingChars="399"/>
        <w:rPr>
          <w:rFonts w:ascii="仿宋" w:hAnsi="仿宋" w:eastAsia="仿宋"/>
          <w:sz w:val="32"/>
          <w:szCs w:val="32"/>
        </w:rPr>
      </w:pPr>
    </w:p>
    <w:p>
      <w:pPr>
        <w:pStyle w:val="5"/>
        <w:spacing w:before="0" w:beforeAutospacing="0" w:after="0" w:afterAutospacing="0" w:line="600" w:lineRule="exact"/>
        <w:ind w:left="1893" w:leftChars="200" w:hanging="1261" w:hangingChars="399"/>
        <w:rPr>
          <w:rFonts w:ascii="仿宋" w:hAnsi="仿宋" w:eastAsia="仿宋"/>
          <w:sz w:val="32"/>
          <w:szCs w:val="32"/>
        </w:rPr>
      </w:pPr>
      <w:r>
        <w:rPr>
          <w:rFonts w:hint="eastAsia" w:ascii="仿宋" w:hAnsi="仿宋" w:eastAsia="仿宋"/>
          <w:sz w:val="32"/>
          <w:szCs w:val="32"/>
        </w:rPr>
        <w:t xml:space="preserve"> 附件：1.2021年度建始县人民法院决算公开表（表1-9）</w:t>
      </w:r>
    </w:p>
    <w:p>
      <w:pPr>
        <w:pStyle w:val="5"/>
        <w:spacing w:before="0" w:beforeAutospacing="0" w:after="0" w:afterAutospacing="0" w:line="600" w:lineRule="exact"/>
        <w:ind w:left="1893" w:leftChars="200" w:hanging="1261" w:hangingChars="399"/>
        <w:rPr>
          <w:rFonts w:ascii="仿宋" w:hAnsi="仿宋" w:eastAsia="仿宋"/>
          <w:sz w:val="32"/>
          <w:szCs w:val="32"/>
        </w:rPr>
        <w:sectPr>
          <w:headerReference r:id="rId3" w:type="default"/>
          <w:footerReference r:id="rId5" w:type="default"/>
          <w:headerReference r:id="rId4" w:type="even"/>
          <w:pgSz w:w="11906" w:h="16838"/>
          <w:pgMar w:top="2098" w:right="1474" w:bottom="1985" w:left="1588" w:header="851" w:footer="1418" w:gutter="0"/>
          <w:cols w:space="425" w:num="1"/>
          <w:docGrid w:type="linesAndChars" w:linePitch="579" w:charSpace="-849"/>
        </w:sectPr>
      </w:pPr>
      <w:r>
        <w:rPr>
          <w:rFonts w:hint="eastAsia" w:ascii="仿宋" w:hAnsi="仿宋" w:eastAsia="仿宋"/>
          <w:sz w:val="32"/>
          <w:szCs w:val="32"/>
        </w:rPr>
        <w:t xml:space="preserve">       2.2021年度建始县人民法院整体绩效和项目绩效自评表</w:t>
      </w:r>
    </w:p>
    <w:p>
      <w:pPr>
        <w:rPr>
          <w:rFonts w:ascii="方正小标宋简体" w:eastAsia="方正小标宋简体"/>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34228"/>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5ZWEwNDliN2EzNDA0ZmY1ZWJmM2IzZWExNjYyZTUifQ=="/>
  </w:docVars>
  <w:rsids>
    <w:rsidRoot w:val="00966C18"/>
    <w:rsid w:val="00005E48"/>
    <w:rsid w:val="000325C9"/>
    <w:rsid w:val="00033719"/>
    <w:rsid w:val="00040391"/>
    <w:rsid w:val="00040734"/>
    <w:rsid w:val="00070AA8"/>
    <w:rsid w:val="00090814"/>
    <w:rsid w:val="000B6CD6"/>
    <w:rsid w:val="00102F77"/>
    <w:rsid w:val="001112FD"/>
    <w:rsid w:val="00142CED"/>
    <w:rsid w:val="0016482C"/>
    <w:rsid w:val="00182005"/>
    <w:rsid w:val="001F2EFE"/>
    <w:rsid w:val="001F4B24"/>
    <w:rsid w:val="00210DA2"/>
    <w:rsid w:val="00270ACC"/>
    <w:rsid w:val="00287C8C"/>
    <w:rsid w:val="002C559B"/>
    <w:rsid w:val="002D13EE"/>
    <w:rsid w:val="002F31F5"/>
    <w:rsid w:val="002F3B3B"/>
    <w:rsid w:val="0030348E"/>
    <w:rsid w:val="00314B54"/>
    <w:rsid w:val="00354A91"/>
    <w:rsid w:val="00354D54"/>
    <w:rsid w:val="0037072D"/>
    <w:rsid w:val="003724AC"/>
    <w:rsid w:val="00372583"/>
    <w:rsid w:val="003750AC"/>
    <w:rsid w:val="003964DD"/>
    <w:rsid w:val="003B15C5"/>
    <w:rsid w:val="003C7DF5"/>
    <w:rsid w:val="00417B9B"/>
    <w:rsid w:val="00427C4F"/>
    <w:rsid w:val="00447AE7"/>
    <w:rsid w:val="004F2187"/>
    <w:rsid w:val="00531957"/>
    <w:rsid w:val="00550929"/>
    <w:rsid w:val="005567D4"/>
    <w:rsid w:val="00557F6A"/>
    <w:rsid w:val="005711E8"/>
    <w:rsid w:val="005E0749"/>
    <w:rsid w:val="005F64C4"/>
    <w:rsid w:val="0060093B"/>
    <w:rsid w:val="006250DC"/>
    <w:rsid w:val="00640E13"/>
    <w:rsid w:val="00652818"/>
    <w:rsid w:val="006669FB"/>
    <w:rsid w:val="006777C8"/>
    <w:rsid w:val="006E368F"/>
    <w:rsid w:val="006E464A"/>
    <w:rsid w:val="007010E8"/>
    <w:rsid w:val="00707D8B"/>
    <w:rsid w:val="007A3562"/>
    <w:rsid w:val="007C4781"/>
    <w:rsid w:val="0083642C"/>
    <w:rsid w:val="00837E7E"/>
    <w:rsid w:val="00837EC0"/>
    <w:rsid w:val="008960FC"/>
    <w:rsid w:val="008E1345"/>
    <w:rsid w:val="00925F62"/>
    <w:rsid w:val="0094089A"/>
    <w:rsid w:val="00945115"/>
    <w:rsid w:val="00966C18"/>
    <w:rsid w:val="00986CCB"/>
    <w:rsid w:val="009A6903"/>
    <w:rsid w:val="009B1213"/>
    <w:rsid w:val="009E120A"/>
    <w:rsid w:val="00A044CC"/>
    <w:rsid w:val="00A1164E"/>
    <w:rsid w:val="00A32A76"/>
    <w:rsid w:val="00AF2C3C"/>
    <w:rsid w:val="00B23489"/>
    <w:rsid w:val="00B402D9"/>
    <w:rsid w:val="00B628D6"/>
    <w:rsid w:val="00B87D7A"/>
    <w:rsid w:val="00BE0DE4"/>
    <w:rsid w:val="00C270A4"/>
    <w:rsid w:val="00CB277B"/>
    <w:rsid w:val="00CE040E"/>
    <w:rsid w:val="00D01AF6"/>
    <w:rsid w:val="00D06C6B"/>
    <w:rsid w:val="00D64C31"/>
    <w:rsid w:val="00D84806"/>
    <w:rsid w:val="00DD786B"/>
    <w:rsid w:val="00DE153D"/>
    <w:rsid w:val="00DE3AE0"/>
    <w:rsid w:val="00E1164B"/>
    <w:rsid w:val="00E82528"/>
    <w:rsid w:val="00E87469"/>
    <w:rsid w:val="00E92B55"/>
    <w:rsid w:val="00EA4FE9"/>
    <w:rsid w:val="00F02AB8"/>
    <w:rsid w:val="00F23DD3"/>
    <w:rsid w:val="00F520BA"/>
    <w:rsid w:val="00F54C2C"/>
    <w:rsid w:val="00F7118D"/>
    <w:rsid w:val="00F90D84"/>
    <w:rsid w:val="00FA5801"/>
    <w:rsid w:val="1A4F2E2C"/>
    <w:rsid w:val="24B93C4E"/>
    <w:rsid w:val="50B8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缩进 + 首行缩进:  2 字符"/>
    <w:basedOn w:val="1"/>
    <w:qFormat/>
    <w:uiPriority w:val="0"/>
    <w:pPr>
      <w:spacing w:line="560" w:lineRule="exact"/>
      <w:ind w:firstLine="640"/>
    </w:pPr>
    <w:rPr>
      <w:rFonts w:ascii="仿宋" w:hAnsi="仿宋" w:cs="宋体"/>
      <w:szCs w:val="20"/>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1538-7ECD-43CE-A4A9-E320A01435F0}">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4942</Words>
  <Characters>5597</Characters>
  <Lines>40</Lines>
  <Paragraphs>11</Paragraphs>
  <TotalTime>2</TotalTime>
  <ScaleCrop>false</ScaleCrop>
  <LinksUpToDate>false</LinksUpToDate>
  <CharactersWithSpaces>5618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2021-09-14T12:14:00Z</dcterms:created>
  <dc:creator>Windows 用户</dc:creator>
  <cp:lastModifiedBy>9 sir</cp:lastModifiedBy>
  <dcterms:modified xsi:type="dcterms:W3CDTF">2023-09-07T08:23:51Z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524EFBC40F28476E9A108F7C64300469_12</vt:lpwstr>
  </property>
</Properties>
</file>